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C9" w:rsidRPr="009C5FF6" w:rsidRDefault="00A364C9" w:rsidP="00BF2255">
      <w:pPr>
        <w:jc w:val="center"/>
        <w:rPr>
          <w:b/>
        </w:rPr>
      </w:pPr>
      <w:r w:rsidRPr="009C5FF6">
        <w:rPr>
          <w:b/>
        </w:rPr>
        <w:t xml:space="preserve">FEDERAL </w:t>
      </w:r>
      <w:r w:rsidR="009C5FF6" w:rsidRPr="009C5FF6">
        <w:rPr>
          <w:b/>
        </w:rPr>
        <w:t xml:space="preserve">(LIHTC) </w:t>
      </w:r>
      <w:r w:rsidRPr="009C5FF6">
        <w:rPr>
          <w:b/>
        </w:rPr>
        <w:t>HOUSING CREDIT</w:t>
      </w:r>
      <w:r w:rsidR="009C5FF6" w:rsidRPr="009C5FF6">
        <w:rPr>
          <w:b/>
        </w:rPr>
        <w:t xml:space="preserve"> &amp;</w:t>
      </w:r>
    </w:p>
    <w:p w:rsidR="009C5FF6" w:rsidRPr="009C5FF6" w:rsidRDefault="00A364C9" w:rsidP="009C5FF6">
      <w:pPr>
        <w:jc w:val="center"/>
        <w:rPr>
          <w:b/>
        </w:rPr>
      </w:pPr>
      <w:r w:rsidRPr="009C5FF6">
        <w:rPr>
          <w:b/>
        </w:rPr>
        <w:t>VERMONT STATE HOUSING CREDIT</w:t>
      </w:r>
      <w:r w:rsidR="009C5FF6" w:rsidRPr="009C5FF6">
        <w:rPr>
          <w:b/>
        </w:rPr>
        <w:t xml:space="preserve"> </w:t>
      </w:r>
    </w:p>
    <w:p w:rsidR="009C5FF6" w:rsidRDefault="009C5FF6" w:rsidP="009C5FF6">
      <w:pPr>
        <w:jc w:val="center"/>
        <w:rPr>
          <w:b/>
          <w:u w:val="single"/>
        </w:rPr>
      </w:pPr>
    </w:p>
    <w:p w:rsidR="009C5FF6" w:rsidRDefault="009C5FF6" w:rsidP="009C5FF6">
      <w:pPr>
        <w:jc w:val="center"/>
        <w:rPr>
          <w:b/>
          <w:u w:val="single"/>
        </w:rPr>
      </w:pPr>
      <w:r w:rsidRPr="009C5FF6">
        <w:rPr>
          <w:b/>
          <w:u w:val="single"/>
        </w:rPr>
        <w:t>PROGRAM OVERVIEW</w:t>
      </w:r>
    </w:p>
    <w:p w:rsidR="00A364C9" w:rsidRDefault="009C5FF6" w:rsidP="00A364C9">
      <w:pPr>
        <w:tabs>
          <w:tab w:val="center" w:pos="4680"/>
        </w:tabs>
        <w:suppressAutoHyphens/>
        <w:spacing w:line="228" w:lineRule="auto"/>
      </w:pPr>
      <w:r>
        <w:rPr>
          <w:b/>
          <w:caps/>
        </w:rPr>
        <w:t xml:space="preserve"> </w:t>
      </w:r>
      <w:r>
        <w:rPr>
          <w:b/>
        </w:rPr>
        <w:t xml:space="preserve"> </w:t>
      </w:r>
      <w:r w:rsidR="00A364C9">
        <w:rPr>
          <w:b/>
        </w:rPr>
        <w:fldChar w:fldCharType="begin"/>
      </w:r>
      <w:r w:rsidR="00A364C9">
        <w:rPr>
          <w:b/>
        </w:rPr>
        <w:instrText>tc  \n  \l 1 "I - PROGRAM SUMMARY"</w:instrText>
      </w:r>
      <w:r w:rsidR="00A364C9">
        <w:rPr>
          <w:b/>
        </w:rPr>
        <w:fldChar w:fldCharType="end"/>
      </w:r>
    </w:p>
    <w:p w:rsidR="00A364C9" w:rsidRDefault="00A364C9" w:rsidP="00A364C9">
      <w:pPr>
        <w:tabs>
          <w:tab w:val="left" w:pos="-720"/>
          <w:tab w:val="left" w:pos="0"/>
        </w:tabs>
        <w:suppressAutoHyphens/>
        <w:spacing w:line="228" w:lineRule="auto"/>
        <w:ind w:left="720" w:hanging="720"/>
      </w:pPr>
      <w:r>
        <w:fldChar w:fldCharType="begin"/>
      </w:r>
      <w:r>
        <w:instrText xml:space="preserve">PRIVATE </w:instrText>
      </w:r>
      <w:r>
        <w:fldChar w:fldCharType="end"/>
      </w:r>
      <w:r>
        <w:t>A.</w:t>
      </w:r>
      <w:r>
        <w:tab/>
      </w:r>
      <w:r>
        <w:rPr>
          <w:b/>
          <w:u w:val="single"/>
        </w:rPr>
        <w:t>Introduction</w:t>
      </w:r>
      <w:r>
        <w:rPr>
          <w:b/>
          <w:u w:val="single"/>
        </w:rPr>
        <w:fldChar w:fldCharType="begin"/>
      </w:r>
      <w:r>
        <w:instrText>tc  \l 2 "A.</w:instrText>
      </w:r>
      <w:r>
        <w:tab/>
      </w:r>
      <w:r>
        <w:rPr>
          <w:b/>
          <w:u w:val="single"/>
        </w:rPr>
        <w:instrText>Introduction</w:instrText>
      </w:r>
      <w:r>
        <w:instrText>"</w:instrText>
      </w:r>
      <w:r>
        <w:rPr>
          <w:b/>
          <w:u w:val="single"/>
        </w:rPr>
        <w:fldChar w:fldCharType="end"/>
      </w:r>
    </w:p>
    <w:p w:rsidR="00A364C9" w:rsidRDefault="00A364C9" w:rsidP="00A364C9">
      <w:pPr>
        <w:tabs>
          <w:tab w:val="left" w:pos="-720"/>
        </w:tabs>
        <w:suppressAutoHyphens/>
        <w:spacing w:line="228" w:lineRule="auto"/>
      </w:pPr>
    </w:p>
    <w:p w:rsidR="00A364C9" w:rsidRDefault="00A364C9" w:rsidP="009C5FF6">
      <w:pPr>
        <w:pStyle w:val="BodyTextIndent"/>
        <w:ind w:left="720"/>
      </w:pPr>
      <w:r>
        <w:t>The Federal Housing Credit (“HC”) is a "tax vehicle" designed by Congress to assist in the creation and preservation of affordable rental housing for low-income households.  It provides a direct cost-based reduction in federal tax liability over a 10-year period for owners of qualifying rental housing who agree to conform to certain operating restrictions for at least a 15-year period.  The Tax Reform Act of 1986 (and succeeding revisions of that law) set a maximum Housing Credit allocation for e</w:t>
      </w:r>
      <w:r w:rsidR="00BF2255">
        <w:t xml:space="preserve">ach state based on population. </w:t>
      </w:r>
    </w:p>
    <w:p w:rsidR="00A364C9" w:rsidRDefault="00A364C9" w:rsidP="00A364C9">
      <w:pPr>
        <w:tabs>
          <w:tab w:val="left" w:pos="-720"/>
        </w:tabs>
        <w:suppressAutoHyphens/>
        <w:spacing w:line="228" w:lineRule="auto"/>
      </w:pPr>
    </w:p>
    <w:p w:rsidR="00A364C9" w:rsidRDefault="00A364C9" w:rsidP="00A364C9">
      <w:pPr>
        <w:pStyle w:val="RightPar1"/>
        <w:tabs>
          <w:tab w:val="clear" w:pos="0"/>
          <w:tab w:val="clear" w:pos="720"/>
        </w:tabs>
        <w:spacing w:line="228" w:lineRule="auto"/>
        <w:rPr>
          <w:rFonts w:ascii="Times New Roman" w:hAnsi="Times New Roman"/>
        </w:rPr>
      </w:pPr>
      <w:r>
        <w:rPr>
          <w:rFonts w:ascii="Times New Roman" w:hAnsi="Times New Roman"/>
        </w:rPr>
        <w:t>The Vermont Affordable Housing Tax Credit, or State Credit, was established in 2000.  It is utilized with the Federal Housing Credit and is taken over a five-year period.  The annu</w:t>
      </w:r>
      <w:r w:rsidR="00E46B9E">
        <w:rPr>
          <w:rFonts w:ascii="Times New Roman" w:hAnsi="Times New Roman"/>
        </w:rPr>
        <w:t xml:space="preserve">al amount of State Credit is </w:t>
      </w:r>
      <w:r w:rsidR="00BF2255">
        <w:rPr>
          <w:rFonts w:ascii="Times New Roman" w:hAnsi="Times New Roman"/>
        </w:rPr>
        <w:t>set by Statute</w:t>
      </w:r>
      <w:r>
        <w:rPr>
          <w:rFonts w:ascii="Times New Roman" w:hAnsi="Times New Roman"/>
        </w:rPr>
        <w:t xml:space="preserve">.  The Allocation Plan governs the allocation of State Credits as well as federal Housing Credits.  This application is used to apply for both types of credit.  </w:t>
      </w:r>
    </w:p>
    <w:p w:rsidR="00A364C9" w:rsidRDefault="00A364C9" w:rsidP="00A364C9">
      <w:pPr>
        <w:tabs>
          <w:tab w:val="left" w:pos="-720"/>
        </w:tabs>
        <w:suppressAutoHyphens/>
        <w:spacing w:line="228" w:lineRule="auto"/>
      </w:pPr>
    </w:p>
    <w:p w:rsidR="00A364C9" w:rsidRDefault="00A364C9" w:rsidP="00A364C9">
      <w:pPr>
        <w:tabs>
          <w:tab w:val="left" w:pos="-720"/>
        </w:tabs>
        <w:suppressAutoHyphens/>
        <w:spacing w:line="228" w:lineRule="auto"/>
      </w:pPr>
      <w:r>
        <w:fldChar w:fldCharType="begin"/>
      </w:r>
      <w:r>
        <w:instrText xml:space="preserve">PRIVATE </w:instrText>
      </w:r>
      <w:r>
        <w:fldChar w:fldCharType="end"/>
      </w:r>
      <w:r>
        <w:t>B.</w:t>
      </w:r>
      <w:r>
        <w:tab/>
      </w:r>
      <w:r>
        <w:rPr>
          <w:b/>
          <w:u w:val="single"/>
        </w:rPr>
        <w:t>Caveats</w:t>
      </w:r>
      <w:r>
        <w:rPr>
          <w:b/>
          <w:u w:val="single"/>
        </w:rPr>
        <w:fldChar w:fldCharType="begin"/>
      </w:r>
      <w:r>
        <w:instrText>tc  \l 2 "B.</w:instrText>
      </w:r>
      <w:r>
        <w:tab/>
      </w:r>
      <w:r>
        <w:rPr>
          <w:b/>
          <w:u w:val="single"/>
        </w:rPr>
        <w:instrText>Caveats</w:instrText>
      </w:r>
      <w:r>
        <w:instrText>"</w:instrText>
      </w:r>
      <w:r>
        <w:rPr>
          <w:b/>
          <w:u w:val="single"/>
        </w:rPr>
        <w:fldChar w:fldCharType="end"/>
      </w:r>
    </w:p>
    <w:p w:rsidR="00A364C9" w:rsidRDefault="00A364C9" w:rsidP="00A364C9">
      <w:pPr>
        <w:tabs>
          <w:tab w:val="left" w:pos="-720"/>
        </w:tabs>
        <w:suppressAutoHyphens/>
        <w:spacing w:line="228" w:lineRule="auto"/>
      </w:pPr>
    </w:p>
    <w:p w:rsidR="00A364C9" w:rsidRDefault="00A364C9" w:rsidP="00A364C9">
      <w:pPr>
        <w:tabs>
          <w:tab w:val="left" w:pos="-720"/>
          <w:tab w:val="left" w:pos="0"/>
        </w:tabs>
        <w:suppressAutoHyphens/>
        <w:spacing w:line="228" w:lineRule="auto"/>
        <w:ind w:left="720" w:hanging="720"/>
        <w:jc w:val="both"/>
      </w:pPr>
      <w:r>
        <w:tab/>
        <w:t xml:space="preserve">The HC program has become increasingly complex.  While VHFA has been given certain programmatic authority and responsibility by Congress and the Governor’s Office, </w:t>
      </w:r>
      <w:r w:rsidRPr="00BF2255">
        <w:t>knowledge of and compliance with the HC program is ultimately the responsibility of the applicant/taxpayer.  Primary enforcement responsibilities lie with the Internal Revenue Service.</w:t>
      </w:r>
      <w:r>
        <w:t xml:space="preserve">  The IRS also requires that VHFA implement fairly rigorous compliance monitoring procedures.  </w:t>
      </w:r>
      <w:r w:rsidRPr="00BF2255">
        <w:t>Applicants are strongly encouraged to seek competent legal and/or accounting assistance in fulfilling their responsibilities under this program.</w:t>
      </w:r>
    </w:p>
    <w:p w:rsidR="00A364C9" w:rsidRDefault="00A364C9" w:rsidP="00A364C9">
      <w:pPr>
        <w:tabs>
          <w:tab w:val="left" w:pos="-720"/>
        </w:tabs>
        <w:suppressAutoHyphens/>
        <w:spacing w:line="228" w:lineRule="auto"/>
        <w:jc w:val="both"/>
      </w:pPr>
    </w:p>
    <w:p w:rsidR="00A364C9" w:rsidRPr="00BF2255" w:rsidRDefault="00A364C9" w:rsidP="00A364C9">
      <w:pPr>
        <w:tabs>
          <w:tab w:val="left" w:pos="-720"/>
          <w:tab w:val="left" w:pos="0"/>
        </w:tabs>
        <w:suppressAutoHyphens/>
        <w:spacing w:line="228" w:lineRule="auto"/>
        <w:ind w:left="720" w:hanging="720"/>
        <w:jc w:val="both"/>
      </w:pPr>
      <w:r>
        <w:tab/>
        <w:t xml:space="preserve">VHFA is charged with allocating Housing Credits, in compliance with an adopted Allocation Plan, to eligible projects in only those amounts necessary to make the selected developments economically feasible.  These decisions shall be made solely at the discretion of VHFA, but VHFA in no way represents or warrants to any sponsor, investor, lender, or others that the project is in fact eligible, feasible, viable, or in compliance either before or after the final allocation decision. </w:t>
      </w:r>
      <w:r w:rsidRPr="00BF2255">
        <w:t xml:space="preserve"> VHFA makes no representations to the owner or anyone else as to compliance with the Internal Revenue Code, Treasury regulations, or any other laws or regulations governing the HC program.</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spacing w:line="228" w:lineRule="auto"/>
        <w:ind w:left="720" w:hanging="720"/>
        <w:jc w:val="both"/>
      </w:pPr>
      <w:r>
        <w:tab/>
        <w:t xml:space="preserve">VHFA's review of documents submitted in connection with this allocation is for its own purposes.  However, applicants should understand that </w:t>
      </w:r>
      <w:r w:rsidRPr="00BF2255">
        <w:t>any information submitted to VHFA as part of an HC application is public information under Vermont law</w:t>
      </w:r>
      <w:r>
        <w:t>.</w:t>
      </w:r>
    </w:p>
    <w:p w:rsidR="00A364C9" w:rsidRDefault="00A364C9" w:rsidP="00A364C9">
      <w:pPr>
        <w:tabs>
          <w:tab w:val="left" w:pos="-720"/>
        </w:tabs>
        <w:suppressAutoHyphens/>
        <w:spacing w:line="228" w:lineRule="auto"/>
        <w:jc w:val="both"/>
      </w:pPr>
    </w:p>
    <w:p w:rsidR="00A364C9" w:rsidRDefault="00A364C9" w:rsidP="005A7968">
      <w:pPr>
        <w:pStyle w:val="BodyTextIndent"/>
        <w:ind w:left="720"/>
      </w:pPr>
      <w:r>
        <w:t>No member, officer, agent, or employee of VHFA shall be personally liable concerning any matters arising out of, or in relation to, the allocation of the Housing Credits.</w:t>
      </w:r>
    </w:p>
    <w:p w:rsidR="00A364C9" w:rsidRDefault="00A364C9" w:rsidP="00A364C9">
      <w:pPr>
        <w:pStyle w:val="BodyTextIndent"/>
      </w:pPr>
    </w:p>
    <w:p w:rsidR="007C06CA" w:rsidRDefault="007C06CA" w:rsidP="00A364C9">
      <w:pPr>
        <w:pStyle w:val="BodyTextIndent"/>
      </w:pPr>
    </w:p>
    <w:p w:rsidR="007C06CA" w:rsidRDefault="007C06CA" w:rsidP="00A364C9">
      <w:pPr>
        <w:pStyle w:val="BodyTextIndent"/>
      </w:pPr>
    </w:p>
    <w:p w:rsidR="006D4644" w:rsidRDefault="006D4644" w:rsidP="00A364C9">
      <w:pPr>
        <w:pStyle w:val="BodyTextIndent"/>
      </w:pPr>
    </w:p>
    <w:p w:rsidR="00A364C9" w:rsidRDefault="00A364C9" w:rsidP="00A364C9">
      <w:pPr>
        <w:tabs>
          <w:tab w:val="left" w:pos="-720"/>
        </w:tabs>
        <w:suppressAutoHyphens/>
        <w:spacing w:line="228" w:lineRule="auto"/>
      </w:pPr>
      <w:r>
        <w:lastRenderedPageBreak/>
        <w:fldChar w:fldCharType="begin"/>
      </w:r>
      <w:r>
        <w:instrText xml:space="preserve">PRIVATE </w:instrText>
      </w:r>
      <w:r>
        <w:fldChar w:fldCharType="end"/>
      </w:r>
      <w:r>
        <w:t>C.</w:t>
      </w:r>
      <w:r>
        <w:tab/>
      </w:r>
      <w:r>
        <w:rPr>
          <w:b/>
          <w:u w:val="single"/>
        </w:rPr>
        <w:t>Program Requirements</w:t>
      </w:r>
      <w:r>
        <w:rPr>
          <w:b/>
          <w:u w:val="single"/>
        </w:rPr>
        <w:fldChar w:fldCharType="begin"/>
      </w:r>
      <w:r>
        <w:instrText>tc  \l 2 "C.</w:instrText>
      </w:r>
      <w:r>
        <w:tab/>
      </w:r>
      <w:r>
        <w:rPr>
          <w:b/>
          <w:u w:val="single"/>
        </w:rPr>
        <w:instrText>Recent Changes to the Law</w:instrText>
      </w:r>
      <w:r>
        <w:instrText>"</w:instrText>
      </w:r>
      <w:r>
        <w:rPr>
          <w:b/>
          <w:u w:val="single"/>
        </w:rPr>
        <w:fldChar w:fldCharType="end"/>
      </w:r>
    </w:p>
    <w:p w:rsidR="00A364C9" w:rsidRDefault="00A364C9" w:rsidP="00A364C9">
      <w:pPr>
        <w:tabs>
          <w:tab w:val="left" w:pos="-720"/>
        </w:tabs>
        <w:suppressAutoHyphens/>
        <w:spacing w:line="228" w:lineRule="auto"/>
      </w:pPr>
    </w:p>
    <w:p w:rsidR="00A364C9" w:rsidRDefault="00A364C9" w:rsidP="00A364C9">
      <w:pPr>
        <w:tabs>
          <w:tab w:val="left" w:pos="-720"/>
          <w:tab w:val="left" w:pos="0"/>
        </w:tabs>
        <w:suppressAutoHyphens/>
        <w:spacing w:line="228" w:lineRule="auto"/>
        <w:ind w:left="720" w:hanging="720"/>
        <w:jc w:val="both"/>
      </w:pPr>
      <w:r>
        <w:tab/>
        <w:t xml:space="preserve">Regulations require VHFA to have a compliance monitoring process for all Housing Credit projects for at least 15 years.  </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spacing w:line="228" w:lineRule="auto"/>
        <w:ind w:left="720" w:hanging="720"/>
        <w:jc w:val="both"/>
      </w:pPr>
      <w:r>
        <w:tab/>
        <w:t>The Federal Department of Housing and Urban Development (HUD) also issued Subsidy Layering Review rules in 1991 which affect HC applications in cases where HUD is being asked to contribute project-based Section 8 certificates, HUD mortgage insurance, or some other direct HUD based subsidy.  Congress has now given state credit agencies authority to administer these rules.</w:t>
      </w:r>
    </w:p>
    <w:p w:rsidR="00A364C9" w:rsidRDefault="00A364C9" w:rsidP="00A364C9">
      <w:pPr>
        <w:tabs>
          <w:tab w:val="left" w:pos="-720"/>
        </w:tabs>
        <w:suppressAutoHyphens/>
        <w:spacing w:line="228" w:lineRule="auto"/>
      </w:pPr>
    </w:p>
    <w:p w:rsidR="00A364C9" w:rsidRDefault="00A364C9" w:rsidP="00BF2255">
      <w:pPr>
        <w:tabs>
          <w:tab w:val="left" w:pos="-720"/>
          <w:tab w:val="left" w:pos="0"/>
        </w:tabs>
        <w:suppressAutoHyphens/>
        <w:spacing w:line="228" w:lineRule="auto"/>
        <w:ind w:left="720" w:hanging="720"/>
      </w:pPr>
      <w:r>
        <w:tab/>
      </w:r>
      <w:r w:rsidR="00BF2255">
        <w:t>Applicants should review the Qualified Allocation Plan (QAP) for additional information.</w:t>
      </w:r>
    </w:p>
    <w:p w:rsidR="00A364C9" w:rsidRDefault="00A364C9" w:rsidP="00A364C9">
      <w:pPr>
        <w:pStyle w:val="BodyTextIndent2"/>
        <w:ind w:left="720" w:firstLine="0"/>
      </w:pPr>
    </w:p>
    <w:p w:rsidR="00A364C9" w:rsidRDefault="00A364C9" w:rsidP="00A364C9">
      <w:pPr>
        <w:pStyle w:val="BodyTextIndent2"/>
      </w:pPr>
      <w:r>
        <w:tab/>
        <w:t>2.</w:t>
      </w:r>
      <w:r>
        <w:tab/>
        <w:t>In addition to the existing 15-year compliance period for the rent-restricted units, owners must sign a recordable extended use covenant that extends the restrictions in perpetuity. Also, the owner must provide a Right of First Refusal to a qualified non-profit or VHFA (or its assignee) that can be exercised at year 15 of the compliance period.  This Right of First Refusal must be for a price described in the Allocation Plan that will help assure long-term affordability for low-income tenants.</w:t>
      </w:r>
    </w:p>
    <w:p w:rsidR="00A364C9" w:rsidRDefault="00A364C9" w:rsidP="00A364C9">
      <w:pPr>
        <w:tabs>
          <w:tab w:val="left" w:pos="-720"/>
        </w:tabs>
        <w:suppressAutoHyphens/>
        <w:spacing w:line="228" w:lineRule="auto"/>
      </w:pPr>
    </w:p>
    <w:p w:rsidR="00A364C9" w:rsidRDefault="00A364C9" w:rsidP="00A364C9">
      <w:pPr>
        <w:pStyle w:val="BodyTextIndent2"/>
      </w:pPr>
      <w:r>
        <w:tab/>
        <w:t>3.</w:t>
      </w:r>
      <w:r>
        <w:tab/>
        <w:t>VHFA must adopt a formal statewide Allocation Plan, after a public hearing process.  The Allocation Plan states the priorities and other evaluation criteria to be used by VHFA in judging applications.  VHFA must make a good faith effort to ensure that the amount of any HC allocation does not exceed that necessary for the financial feasibility of the development and must consider the reasonableness of development costs and operating expenses in determining the amount of Housing Credits to issue.  The result is that comprehensive financial and sponsor information must be submitted and evaluated by VHFA as part of the allocation process.</w:t>
      </w:r>
    </w:p>
    <w:p w:rsidR="00A364C9" w:rsidRDefault="00A364C9" w:rsidP="00A364C9">
      <w:pPr>
        <w:tabs>
          <w:tab w:val="left" w:pos="-720"/>
        </w:tabs>
        <w:suppressAutoHyphens/>
        <w:spacing w:line="228" w:lineRule="auto"/>
        <w:jc w:val="both"/>
      </w:pPr>
    </w:p>
    <w:p w:rsidR="00A364C9" w:rsidRDefault="00A364C9" w:rsidP="00A364C9">
      <w:pPr>
        <w:pStyle w:val="BodyTextIndent2"/>
      </w:pPr>
      <w:r>
        <w:tab/>
        <w:t>4.</w:t>
      </w:r>
      <w:r>
        <w:tab/>
        <w:t>CDBG funds can be included in the eligible basis when using the 9% credit.  HOME funds, however, are eligible for either the 4% credit or the 9% credit.  An owner can receive the 9% credit for a project receiving HOME funds if the owner elects to restrict 40% of the units to occupancy by households earning 50% of area median income or less.  If, however, a property is located in a Difficult Development Area and an owner elects to take the 9% credit, the project is not eligible for the 130% adjustment factor for Difficult Development Areas.  However, if the HOME funds are lent to the project at the Applicable Federal Rate (AFR) or higher, the 130% adjustment may be taken.</w:t>
      </w:r>
    </w:p>
    <w:p w:rsidR="00A364C9" w:rsidRDefault="00A364C9" w:rsidP="00A364C9">
      <w:pPr>
        <w:tabs>
          <w:tab w:val="left" w:pos="-720"/>
        </w:tabs>
        <w:suppressAutoHyphens/>
        <w:spacing w:line="228" w:lineRule="auto"/>
        <w:jc w:val="both"/>
      </w:pPr>
    </w:p>
    <w:p w:rsidR="00A364C9" w:rsidRDefault="00A364C9" w:rsidP="006E3484">
      <w:pPr>
        <w:pStyle w:val="BodyTextIndent2"/>
      </w:pPr>
      <w:r>
        <w:tab/>
        <w:t>5.</w:t>
      </w:r>
      <w:r>
        <w:tab/>
        <w:t>If more than 50 percent of the development financing is tax-exempt, then the HC allocation may come from "outside the cap."  This means that VHFA does not make the allocation (the owner files the relevant tax forms directly with the IRS) and the "out-of-cap" allocation does not reduce Vermont's allotted allocation authority.  However, these projects must still satisfy the requirements of the Allocation Plan and must be reviewed by the Allocating Agency.  These projects are required only to have a 15-year extended use period (a 30-year tax credit compliance period overall).</w:t>
      </w:r>
    </w:p>
    <w:p w:rsidR="005A7968" w:rsidRDefault="005A7968" w:rsidP="00A364C9">
      <w:pPr>
        <w:tabs>
          <w:tab w:val="left" w:pos="-720"/>
        </w:tabs>
        <w:suppressAutoHyphens/>
      </w:pPr>
    </w:p>
    <w:p w:rsidR="005A7968" w:rsidRDefault="005A7968" w:rsidP="00A364C9">
      <w:pPr>
        <w:tabs>
          <w:tab w:val="left" w:pos="-720"/>
        </w:tabs>
        <w:suppressAutoHyphens/>
      </w:pPr>
    </w:p>
    <w:p w:rsidR="007C06CA" w:rsidRDefault="007C06CA" w:rsidP="00A364C9">
      <w:pPr>
        <w:tabs>
          <w:tab w:val="left" w:pos="-720"/>
        </w:tabs>
        <w:suppressAutoHyphens/>
      </w:pPr>
    </w:p>
    <w:p w:rsidR="007C06CA" w:rsidRDefault="007C06CA" w:rsidP="00A364C9">
      <w:pPr>
        <w:tabs>
          <w:tab w:val="left" w:pos="-720"/>
        </w:tabs>
        <w:suppressAutoHyphens/>
      </w:pPr>
    </w:p>
    <w:p w:rsidR="00A364C9" w:rsidRDefault="00A364C9" w:rsidP="00A364C9">
      <w:pPr>
        <w:tabs>
          <w:tab w:val="left" w:pos="-720"/>
        </w:tabs>
        <w:suppressAutoHyphens/>
      </w:pPr>
      <w:r>
        <w:lastRenderedPageBreak/>
        <w:fldChar w:fldCharType="begin"/>
      </w:r>
      <w:r>
        <w:instrText xml:space="preserve">PRIVATE </w:instrText>
      </w:r>
      <w:r>
        <w:fldChar w:fldCharType="end"/>
      </w:r>
      <w:r>
        <w:t>D.</w:t>
      </w:r>
      <w:r>
        <w:rPr>
          <w:b/>
        </w:rPr>
        <w:tab/>
      </w:r>
      <w:r>
        <w:rPr>
          <w:b/>
          <w:u w:val="single"/>
        </w:rPr>
        <w:t>Housing Credit Options</w:t>
      </w:r>
      <w:r>
        <w:rPr>
          <w:b/>
          <w:u w:val="single"/>
        </w:rPr>
        <w:fldChar w:fldCharType="begin"/>
      </w:r>
      <w:r>
        <w:instrText>tc  \l 2 "D.</w:instrText>
      </w:r>
      <w:r>
        <w:rPr>
          <w:b/>
        </w:rPr>
        <w:tab/>
      </w:r>
      <w:r>
        <w:rPr>
          <w:b/>
          <w:u w:val="single"/>
        </w:rPr>
        <w:instrText>Tax Credit Options</w:instrText>
      </w:r>
      <w:r>
        <w:rPr>
          <w:b/>
        </w:rPr>
        <w:instrText>"</w:instrText>
      </w:r>
      <w:r>
        <w:rPr>
          <w:b/>
          <w:u w:val="single"/>
        </w:rPr>
        <w:fldChar w:fldCharType="end"/>
      </w:r>
    </w:p>
    <w:p w:rsidR="00A364C9" w:rsidRDefault="00A364C9" w:rsidP="00A364C9">
      <w:pPr>
        <w:tabs>
          <w:tab w:val="left" w:pos="-720"/>
          <w:tab w:val="left" w:pos="0"/>
        </w:tabs>
        <w:suppressAutoHyphens/>
        <w:spacing w:line="228" w:lineRule="auto"/>
        <w:ind w:left="720" w:hanging="720"/>
        <w:jc w:val="both"/>
      </w:pPr>
      <w:r>
        <w:tab/>
        <w:t>There are two levels of Federal Housing Credits - generically known as the 9% credit and the 4% credit</w:t>
      </w:r>
      <w:r w:rsidR="0043332B">
        <w:t>.</w:t>
      </w:r>
      <w:r w:rsidR="0043332B" w:rsidRPr="0043332B">
        <w:rPr>
          <w:sz w:val="16"/>
          <w:szCs w:val="16"/>
          <w:vertAlign w:val="superscript"/>
        </w:rPr>
        <w:t>1</w:t>
      </w:r>
      <w:r w:rsidRPr="0043332B">
        <w:rPr>
          <w:rStyle w:val="FootnoteReference"/>
          <w:color w:val="FFFFFF"/>
        </w:rPr>
        <w:footnoteReference w:id="1"/>
      </w:r>
      <w:r>
        <w:t>Selection of the applicable Housing Credit percentage (either 4% or 9%) depends on whether a project is newly con</w:t>
      </w:r>
      <w:r>
        <w:softHyphen/>
        <w:t>structed or an existing building, the extent of rehabilit</w:t>
      </w:r>
      <w:r>
        <w:softHyphen/>
        <w:t>ation involved, and whether the project is federally subsidized or not. An example of a federal subsidy is VHFA's tax-exempt bond financing.</w:t>
      </w:r>
      <w:r w:rsidR="0043332B" w:rsidRPr="0043332B">
        <w:rPr>
          <w:sz w:val="16"/>
          <w:szCs w:val="16"/>
          <w:vertAlign w:val="superscript"/>
        </w:rPr>
        <w:t>2</w:t>
      </w:r>
      <w:r>
        <w:t xml:space="preserve"> </w:t>
      </w:r>
      <w:r w:rsidRPr="0043332B">
        <w:rPr>
          <w:rStyle w:val="FootnoteReference"/>
          <w:color w:val="FFFFFF"/>
        </w:rPr>
        <w:footnoteReference w:id="2"/>
      </w:r>
      <w:r w:rsidRPr="0043332B">
        <w:rPr>
          <w:color w:val="FFFFFF"/>
        </w:rPr>
        <w:t xml:space="preserve"> </w:t>
      </w:r>
      <w:proofErr w:type="gramStart"/>
      <w:r>
        <w:t>In</w:t>
      </w:r>
      <w:proofErr w:type="gramEnd"/>
      <w:r>
        <w:t xml:space="preserve"> addition, there is the Vermont Affordable Housing Tax Credit.</w:t>
      </w:r>
    </w:p>
    <w:p w:rsidR="00A364C9" w:rsidRDefault="00A364C9" w:rsidP="006E3484">
      <w:pPr>
        <w:tabs>
          <w:tab w:val="left" w:pos="-720"/>
        </w:tabs>
        <w:suppressAutoHyphens/>
        <w:spacing w:line="228" w:lineRule="auto"/>
        <w:jc w:val="both"/>
      </w:pPr>
    </w:p>
    <w:p w:rsidR="00A364C9" w:rsidRDefault="00A364C9" w:rsidP="00A364C9">
      <w:pPr>
        <w:tabs>
          <w:tab w:val="left" w:pos="-720"/>
        </w:tabs>
        <w:suppressAutoHyphens/>
        <w:spacing w:line="228" w:lineRule="auto"/>
      </w:pPr>
    </w:p>
    <w:p w:rsidR="00A364C9" w:rsidRDefault="00A364C9" w:rsidP="00A364C9">
      <w:pPr>
        <w:tabs>
          <w:tab w:val="left" w:pos="-720"/>
        </w:tabs>
        <w:suppressAutoHyphens/>
        <w:spacing w:line="228" w:lineRule="auto"/>
      </w:pPr>
      <w:r>
        <w:fldChar w:fldCharType="begin"/>
      </w:r>
      <w:r>
        <w:instrText xml:space="preserve">PRIVATE </w:instrText>
      </w:r>
      <w:r>
        <w:fldChar w:fldCharType="end"/>
      </w:r>
      <w:r>
        <w:t>E.</w:t>
      </w:r>
      <w:r>
        <w:tab/>
      </w:r>
      <w:r>
        <w:rPr>
          <w:b/>
          <w:u w:val="single"/>
        </w:rPr>
        <w:t>Calculating the Housing Credit</w:t>
      </w:r>
      <w:r>
        <w:rPr>
          <w:b/>
          <w:u w:val="single"/>
        </w:rPr>
        <w:fldChar w:fldCharType="begin"/>
      </w:r>
      <w:r>
        <w:instrText>tc  \l 2 "E.</w:instrText>
      </w:r>
      <w:r>
        <w:tab/>
      </w:r>
      <w:r>
        <w:rPr>
          <w:b/>
          <w:u w:val="single"/>
        </w:rPr>
        <w:instrText>Calculating the Tax Credit</w:instrText>
      </w:r>
      <w:r>
        <w:instrText>"</w:instrText>
      </w:r>
      <w:r>
        <w:rPr>
          <w:b/>
          <w:u w:val="single"/>
        </w:rPr>
        <w:fldChar w:fldCharType="end"/>
      </w:r>
    </w:p>
    <w:p w:rsidR="00A364C9" w:rsidRDefault="00A364C9" w:rsidP="00A364C9">
      <w:pPr>
        <w:tabs>
          <w:tab w:val="left" w:pos="-720"/>
        </w:tabs>
        <w:suppressAutoHyphens/>
        <w:spacing w:line="228" w:lineRule="auto"/>
      </w:pPr>
    </w:p>
    <w:p w:rsidR="00A364C9" w:rsidRDefault="00A364C9" w:rsidP="00A364C9">
      <w:pPr>
        <w:tabs>
          <w:tab w:val="left" w:pos="-720"/>
          <w:tab w:val="left" w:pos="0"/>
        </w:tabs>
        <w:suppressAutoHyphens/>
        <w:spacing w:line="228" w:lineRule="auto"/>
        <w:ind w:left="720" w:hanging="720"/>
      </w:pPr>
      <w:r>
        <w:tab/>
        <w:t>The calculation of the dollar amount of credit available is determined in three steps:</w:t>
      </w:r>
    </w:p>
    <w:p w:rsidR="00A364C9" w:rsidRDefault="00A364C9" w:rsidP="00A364C9">
      <w:pPr>
        <w:tabs>
          <w:tab w:val="left" w:pos="-720"/>
        </w:tabs>
        <w:suppressAutoHyphens/>
        <w:spacing w:line="228" w:lineRule="auto"/>
      </w:pPr>
    </w:p>
    <w:p w:rsidR="00A364C9" w:rsidRDefault="00A364C9" w:rsidP="00A364C9">
      <w:pPr>
        <w:tabs>
          <w:tab w:val="left" w:pos="-720"/>
          <w:tab w:val="left" w:pos="0"/>
          <w:tab w:val="left" w:pos="720"/>
        </w:tabs>
        <w:suppressAutoHyphens/>
        <w:spacing w:line="228" w:lineRule="auto"/>
        <w:ind w:left="1440" w:hanging="1440"/>
        <w:jc w:val="both"/>
      </w:pPr>
      <w:r>
        <w:tab/>
        <w:t>1.</w:t>
      </w:r>
      <w:r>
        <w:tab/>
        <w:t>Determine the eligible basis of a building or project.  Eligible basis is generally any cost that is a depreci</w:t>
      </w:r>
      <w:r>
        <w:softHyphen/>
        <w:t>able or capital budget item for all other IRS purposes.  Land and working capital are two common project costs that are generally excluded from the eligible basis.</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 w:val="left" w:pos="720"/>
        </w:tabs>
        <w:suppressAutoHyphens/>
        <w:spacing w:line="228" w:lineRule="auto"/>
        <w:ind w:left="1440" w:hanging="1440"/>
        <w:jc w:val="both"/>
      </w:pPr>
      <w:r>
        <w:tab/>
        <w:t>2.</w:t>
      </w:r>
      <w:r>
        <w:tab/>
        <w:t>Determine if the development is in a Difficult Development Area (see map in Appendix A).  If so, multiply the eligible basis by up to 130%.</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 w:val="left" w:pos="720"/>
        </w:tabs>
        <w:suppressAutoHyphens/>
        <w:spacing w:line="228" w:lineRule="auto"/>
        <w:ind w:left="1440" w:hanging="1440"/>
        <w:jc w:val="both"/>
      </w:pPr>
      <w:r>
        <w:tab/>
        <w:t>3.</w:t>
      </w:r>
      <w:r>
        <w:tab/>
        <w:t xml:space="preserve">Determine the qualified basis of a project.  The "qualified basis" of a rental building is that portion of the "eligible basis" of a building that will be rented to low-income households for the initial 15-year period.  The minimum </w:t>
      </w:r>
      <w:proofErr w:type="gramStart"/>
      <w:r>
        <w:t>number</w:t>
      </w:r>
      <w:proofErr w:type="gramEnd"/>
      <w:r>
        <w:t xml:space="preserve"> of units in a building or project that must be rented to low-income households are described in Section I.  The percentage used must be the lesser of: 1) The number of low-income units/total units; or 2) The floor space square footage of low-income units/total floor space.</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 w:val="left" w:pos="720"/>
        </w:tabs>
        <w:suppressAutoHyphens/>
        <w:spacing w:line="228" w:lineRule="auto"/>
        <w:ind w:left="1440" w:hanging="1440"/>
        <w:jc w:val="both"/>
      </w:pPr>
      <w:r>
        <w:tab/>
        <w:t>4.</w:t>
      </w:r>
      <w:r>
        <w:tab/>
        <w:t>Multiply the appropriate Housing Credit percentage (e.g. 4% or 9%) times the "qualified basis" of a rental building.</w:t>
      </w:r>
    </w:p>
    <w:p w:rsidR="00A364C9" w:rsidRDefault="00A364C9" w:rsidP="00A364C9">
      <w:pPr>
        <w:tabs>
          <w:tab w:val="left" w:pos="-720"/>
        </w:tabs>
        <w:suppressAutoHyphens/>
        <w:spacing w:line="228" w:lineRule="auto"/>
        <w:jc w:val="both"/>
      </w:pPr>
    </w:p>
    <w:p w:rsidR="00A364C9" w:rsidRDefault="00A364C9" w:rsidP="00A364C9">
      <w:pPr>
        <w:tabs>
          <w:tab w:val="left" w:pos="-720"/>
        </w:tabs>
        <w:suppressAutoHyphens/>
        <w:spacing w:line="228" w:lineRule="auto"/>
        <w:jc w:val="both"/>
      </w:pPr>
      <w:r>
        <w:fldChar w:fldCharType="begin"/>
      </w:r>
      <w:r>
        <w:instrText xml:space="preserve">PRIVATE </w:instrText>
      </w:r>
      <w:r>
        <w:fldChar w:fldCharType="end"/>
      </w:r>
      <w:r>
        <w:t>F.</w:t>
      </w:r>
      <w:r>
        <w:tab/>
      </w:r>
      <w:r>
        <w:rPr>
          <w:b/>
          <w:u w:val="single"/>
        </w:rPr>
        <w:t>Eligible Project Types</w:t>
      </w:r>
      <w:r>
        <w:rPr>
          <w:b/>
          <w:u w:val="single"/>
        </w:rPr>
        <w:fldChar w:fldCharType="begin"/>
      </w:r>
      <w:r>
        <w:instrText>tc  \l 2 "F.</w:instrText>
      </w:r>
      <w:r>
        <w:tab/>
      </w:r>
      <w:r>
        <w:rPr>
          <w:b/>
          <w:u w:val="single"/>
        </w:rPr>
        <w:instrText>Eligible Project Types</w:instrText>
      </w:r>
      <w:r>
        <w:instrText>"</w:instrText>
      </w:r>
      <w:r>
        <w:rPr>
          <w:b/>
          <w:u w:val="single"/>
        </w:rPr>
        <w:fldChar w:fldCharType="end"/>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spacing w:line="228" w:lineRule="auto"/>
        <w:ind w:left="720" w:hanging="720"/>
        <w:jc w:val="both"/>
      </w:pPr>
      <w:r>
        <w:tab/>
        <w:t>Most residential rental properties are eligible for the HC Program, with the exception of owner-occupied properties containing 4 or fewer units, nursing homes, hospitals, sanitariu</w:t>
      </w:r>
      <w:r>
        <w:softHyphen/>
        <w:t>ms, life care faciliti</w:t>
      </w:r>
      <w:r>
        <w:softHyphen/>
        <w:t xml:space="preserve">es, retirement homes, and mobile home parks.  An owner-occupant in a four-unit (or smaller) building may be eligible if he/she acquires or rehabilitates the building in accordance with a state or local government or qualified non-profit organization sponsored development plan of action.  Transient housing (i.e. leases less than 6 months) is not permitted unless the facility is an SRO (Single Room Occupancy) or a homeless shelter.  </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spacing w:line="228" w:lineRule="auto"/>
        <w:ind w:left="720" w:hanging="720"/>
        <w:jc w:val="both"/>
      </w:pPr>
      <w:r>
        <w:lastRenderedPageBreak/>
        <w:tab/>
        <w:t>For projects consisting of more than one property, all sites must be con</w:t>
      </w:r>
      <w:r>
        <w:softHyphen/>
        <w:t>tiguous, except that a scattered site project is permitted if 100% of the units are rent restricted (i.e. in compliance with the Housing Credit maximum incomes and rents</w:t>
      </w:r>
      <w:proofErr w:type="gramStart"/>
      <w:r>
        <w:t>)</w:t>
      </w:r>
      <w:r w:rsidR="0031387D" w:rsidRPr="0031387D">
        <w:rPr>
          <w:sz w:val="16"/>
          <w:szCs w:val="16"/>
          <w:vertAlign w:val="superscript"/>
        </w:rPr>
        <w:t>4</w:t>
      </w:r>
      <w:proofErr w:type="gramEnd"/>
      <w:r w:rsidR="0031387D" w:rsidRPr="0031387D">
        <w:t>.</w:t>
      </w:r>
      <w:r w:rsidRPr="0031387D">
        <w:rPr>
          <w:rStyle w:val="FootnoteReference"/>
          <w:color w:val="FFFFFF"/>
        </w:rPr>
        <w:footnoteReference w:id="3"/>
      </w:r>
      <w:r w:rsidRPr="0031387D">
        <w:rPr>
          <w:color w:val="FFFFFF"/>
        </w:rPr>
        <w:t>.</w:t>
      </w:r>
      <w:r>
        <w:t>Buildings used in part for rental purposes and in part for other purposes may qualify for the Housing Credit, but only for that portion of the building which con</w:t>
      </w:r>
      <w:r>
        <w:softHyphen/>
        <w:t xml:space="preserve">stitutes the qualifying rental housing. </w:t>
      </w:r>
    </w:p>
    <w:p w:rsidR="00A364C9" w:rsidRDefault="00A364C9" w:rsidP="00A364C9">
      <w:pPr>
        <w:tabs>
          <w:tab w:val="left" w:pos="-720"/>
          <w:tab w:val="left" w:pos="0"/>
        </w:tabs>
        <w:suppressAutoHyphens/>
        <w:spacing w:line="228" w:lineRule="auto"/>
        <w:ind w:left="720" w:hanging="720"/>
        <w:jc w:val="both"/>
      </w:pPr>
      <w:r>
        <w:tab/>
        <w:t xml:space="preserve">A building is generally </w:t>
      </w:r>
      <w:r>
        <w:rPr>
          <w:u w:val="single"/>
        </w:rPr>
        <w:t>not</w:t>
      </w:r>
      <w:r>
        <w:t xml:space="preserve"> eligible for the acquisition credits under the HC Program if it has been acquired or substan</w:t>
      </w:r>
      <w:r>
        <w:softHyphen/>
        <w:t>tially improved by any party in a 10-year period prior to the HC applica</w:t>
      </w:r>
      <w:r>
        <w:softHyphen/>
        <w:t>tion.  However, the building may still be eligible for rehabilit</w:t>
      </w:r>
      <w:r>
        <w:softHyphen/>
        <w:t>ation credits.</w:t>
      </w:r>
    </w:p>
    <w:p w:rsidR="00124D50" w:rsidRDefault="00124D50" w:rsidP="00A364C9">
      <w:pPr>
        <w:tabs>
          <w:tab w:val="left" w:pos="-720"/>
        </w:tabs>
        <w:suppressAutoHyphens/>
        <w:spacing w:line="228" w:lineRule="auto"/>
        <w:jc w:val="both"/>
      </w:pPr>
    </w:p>
    <w:p w:rsidR="00A364C9" w:rsidRDefault="00A364C9" w:rsidP="00A364C9">
      <w:pPr>
        <w:tabs>
          <w:tab w:val="left" w:pos="-720"/>
        </w:tabs>
        <w:suppressAutoHyphens/>
        <w:spacing w:line="228" w:lineRule="auto"/>
        <w:jc w:val="both"/>
      </w:pPr>
      <w:r>
        <w:fldChar w:fldCharType="begin"/>
      </w:r>
      <w:r>
        <w:instrText xml:space="preserve">PRIVATE </w:instrText>
      </w:r>
      <w:r>
        <w:fldChar w:fldCharType="end"/>
      </w:r>
      <w:r>
        <w:t>G.</w:t>
      </w:r>
      <w:r>
        <w:tab/>
      </w:r>
      <w:r>
        <w:rPr>
          <w:b/>
          <w:u w:val="single"/>
        </w:rPr>
        <w:t>Example of Housing Credit Calculation</w:t>
      </w:r>
      <w:r>
        <w:rPr>
          <w:b/>
          <w:u w:val="single"/>
        </w:rPr>
        <w:fldChar w:fldCharType="begin"/>
      </w:r>
      <w:r>
        <w:instrText>tc  \l 2 "G.</w:instrText>
      </w:r>
      <w:r>
        <w:tab/>
      </w:r>
      <w:r>
        <w:rPr>
          <w:b/>
          <w:u w:val="single"/>
        </w:rPr>
        <w:instrText>Example of Tax Credit Calculation</w:instrText>
      </w:r>
      <w:r>
        <w:instrText>"</w:instrText>
      </w:r>
      <w:r>
        <w:rPr>
          <w:b/>
          <w:u w:val="single"/>
        </w:rPr>
        <w:fldChar w:fldCharType="end"/>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spacing w:line="228" w:lineRule="auto"/>
        <w:ind w:left="720" w:hanging="720"/>
        <w:jc w:val="both"/>
      </w:pPr>
      <w:r>
        <w:tab/>
        <w:t>The example below illustrates the value of the credit to a housing sponsor who acquires a 15-unit building for $120,000, expends $200,000 on substantial rehabilitation, and subsequently rents 6 of the units (i.e. 40%) to low-income households.</w:t>
      </w:r>
    </w:p>
    <w:p w:rsidR="00A364C9" w:rsidRDefault="00A364C9" w:rsidP="00A364C9">
      <w:pPr>
        <w:tabs>
          <w:tab w:val="left" w:pos="-720"/>
        </w:tabs>
        <w:suppressAutoHyphens/>
        <w:spacing w:line="228" w:lineRule="auto"/>
      </w:pPr>
    </w:p>
    <w:tbl>
      <w:tblPr>
        <w:tblW w:w="9000" w:type="dxa"/>
        <w:tblInd w:w="660" w:type="dxa"/>
        <w:tblLayout w:type="fixed"/>
        <w:tblCellMar>
          <w:left w:w="120" w:type="dxa"/>
          <w:right w:w="120" w:type="dxa"/>
        </w:tblCellMar>
        <w:tblLook w:val="0000" w:firstRow="0" w:lastRow="0" w:firstColumn="0" w:lastColumn="0" w:noHBand="0" w:noVBand="0"/>
      </w:tblPr>
      <w:tblGrid>
        <w:gridCol w:w="3360"/>
        <w:gridCol w:w="1950"/>
        <w:gridCol w:w="2160"/>
        <w:gridCol w:w="1530"/>
      </w:tblGrid>
      <w:tr w:rsidR="00A364C9">
        <w:tc>
          <w:tcPr>
            <w:tcW w:w="3360" w:type="dxa"/>
            <w:tcBorders>
              <w:top w:val="single" w:sz="6" w:space="0" w:color="auto"/>
              <w:left w:val="single" w:sz="6" w:space="0" w:color="auto"/>
            </w:tcBorders>
          </w:tcPr>
          <w:p w:rsidR="00A364C9" w:rsidRDefault="00A364C9" w:rsidP="00B52E24">
            <w:pPr>
              <w:keepNext/>
              <w:keepLines/>
              <w:tabs>
                <w:tab w:val="left" w:pos="-720"/>
              </w:tabs>
              <w:suppressAutoHyphens/>
              <w:spacing w:before="90" w:line="228" w:lineRule="auto"/>
              <w:jc w:val="center"/>
            </w:pPr>
            <w:r>
              <w:fldChar w:fldCharType="begin"/>
            </w:r>
            <w:r>
              <w:instrText xml:space="preserve">PRIVATE </w:instrText>
            </w:r>
            <w:r>
              <w:fldChar w:fldCharType="end"/>
            </w:r>
          </w:p>
          <w:p w:rsidR="00A364C9" w:rsidRDefault="00A364C9" w:rsidP="00B52E24">
            <w:pPr>
              <w:keepNext/>
              <w:keepLines/>
              <w:tabs>
                <w:tab w:val="left" w:pos="-720"/>
              </w:tabs>
              <w:suppressAutoHyphens/>
              <w:spacing w:after="54" w:line="228" w:lineRule="auto"/>
              <w:jc w:val="center"/>
            </w:pPr>
            <w:r>
              <w:rPr>
                <w:b/>
              </w:rPr>
              <w:t>Description</w:t>
            </w:r>
          </w:p>
        </w:tc>
        <w:tc>
          <w:tcPr>
            <w:tcW w:w="1950" w:type="dxa"/>
            <w:tcBorders>
              <w:top w:val="single" w:sz="6" w:space="0" w:color="auto"/>
              <w:left w:val="single" w:sz="6" w:space="0" w:color="auto"/>
            </w:tcBorders>
          </w:tcPr>
          <w:p w:rsidR="00A364C9" w:rsidRDefault="00A364C9" w:rsidP="00B52E24">
            <w:pPr>
              <w:keepNext/>
              <w:keepLines/>
              <w:tabs>
                <w:tab w:val="left" w:pos="-720"/>
              </w:tabs>
              <w:suppressAutoHyphens/>
              <w:spacing w:before="90" w:line="228" w:lineRule="auto"/>
              <w:jc w:val="center"/>
              <w:rPr>
                <w:b/>
              </w:rPr>
            </w:pPr>
            <w:r>
              <w:rPr>
                <w:b/>
              </w:rPr>
              <w:t>Rehabilitation</w:t>
            </w:r>
          </w:p>
          <w:p w:rsidR="00A364C9" w:rsidRDefault="00A364C9" w:rsidP="00B52E24">
            <w:pPr>
              <w:keepNext/>
              <w:keepLines/>
              <w:tabs>
                <w:tab w:val="left" w:pos="-720"/>
              </w:tabs>
              <w:suppressAutoHyphens/>
              <w:spacing w:after="54" w:line="228" w:lineRule="auto"/>
              <w:jc w:val="center"/>
            </w:pPr>
            <w:r>
              <w:rPr>
                <w:b/>
              </w:rPr>
              <w:t>Expenses</w:t>
            </w:r>
          </w:p>
        </w:tc>
        <w:tc>
          <w:tcPr>
            <w:tcW w:w="2160" w:type="dxa"/>
            <w:tcBorders>
              <w:top w:val="single" w:sz="6" w:space="0" w:color="auto"/>
              <w:left w:val="single" w:sz="6" w:space="0" w:color="auto"/>
            </w:tcBorders>
          </w:tcPr>
          <w:p w:rsidR="00A364C9" w:rsidRDefault="00A364C9" w:rsidP="00B52E24">
            <w:pPr>
              <w:keepNext/>
              <w:keepLines/>
              <w:tabs>
                <w:tab w:val="left" w:pos="-720"/>
              </w:tabs>
              <w:suppressAutoHyphens/>
              <w:spacing w:before="90" w:line="228" w:lineRule="auto"/>
              <w:jc w:val="center"/>
              <w:rPr>
                <w:b/>
              </w:rPr>
            </w:pPr>
            <w:r>
              <w:rPr>
                <w:b/>
              </w:rPr>
              <w:t>Acquisition</w:t>
            </w:r>
          </w:p>
          <w:p w:rsidR="00A364C9" w:rsidRDefault="00A364C9" w:rsidP="00B52E24">
            <w:pPr>
              <w:keepNext/>
              <w:keepLines/>
              <w:tabs>
                <w:tab w:val="left" w:pos="-720"/>
              </w:tabs>
              <w:suppressAutoHyphens/>
              <w:spacing w:after="54" w:line="228" w:lineRule="auto"/>
              <w:jc w:val="center"/>
            </w:pPr>
            <w:r>
              <w:rPr>
                <w:b/>
              </w:rPr>
              <w:t>Expenses</w:t>
            </w:r>
          </w:p>
        </w:tc>
        <w:tc>
          <w:tcPr>
            <w:tcW w:w="1530" w:type="dxa"/>
            <w:tcBorders>
              <w:top w:val="single" w:sz="6" w:space="0" w:color="auto"/>
              <w:left w:val="single" w:sz="6" w:space="0" w:color="auto"/>
              <w:right w:val="single" w:sz="6" w:space="0" w:color="auto"/>
            </w:tcBorders>
          </w:tcPr>
          <w:p w:rsidR="00A364C9" w:rsidRDefault="00A364C9" w:rsidP="00B52E24">
            <w:pPr>
              <w:keepNext/>
              <w:keepLines/>
              <w:tabs>
                <w:tab w:val="left" w:pos="-720"/>
              </w:tabs>
              <w:suppressAutoHyphens/>
              <w:spacing w:before="90" w:line="228" w:lineRule="auto"/>
              <w:jc w:val="center"/>
            </w:pPr>
          </w:p>
          <w:p w:rsidR="00A364C9" w:rsidRDefault="00A364C9" w:rsidP="00B52E24">
            <w:pPr>
              <w:keepNext/>
              <w:keepLines/>
              <w:tabs>
                <w:tab w:val="left" w:pos="-720"/>
              </w:tabs>
              <w:suppressAutoHyphens/>
              <w:spacing w:after="54" w:line="228" w:lineRule="auto"/>
              <w:jc w:val="center"/>
            </w:pPr>
            <w:r>
              <w:rPr>
                <w:b/>
              </w:rPr>
              <w:t>Total</w:t>
            </w:r>
          </w:p>
        </w:tc>
      </w:tr>
      <w:tr w:rsidR="00A364C9">
        <w:tc>
          <w:tcPr>
            <w:tcW w:w="3360" w:type="dxa"/>
            <w:tcBorders>
              <w:top w:val="double" w:sz="6" w:space="0" w:color="auto"/>
              <w:left w:val="single" w:sz="6" w:space="0" w:color="auto"/>
            </w:tcBorders>
          </w:tcPr>
          <w:p w:rsidR="00A364C9" w:rsidRDefault="00A364C9" w:rsidP="00B52E24">
            <w:pPr>
              <w:keepNext/>
              <w:keepLines/>
              <w:tabs>
                <w:tab w:val="left" w:pos="-720"/>
              </w:tabs>
              <w:suppressAutoHyphens/>
              <w:spacing w:before="90" w:after="54" w:line="228" w:lineRule="auto"/>
            </w:pPr>
            <w:r>
              <w:t>Development Costs</w:t>
            </w:r>
          </w:p>
        </w:tc>
        <w:tc>
          <w:tcPr>
            <w:tcW w:w="1950" w:type="dxa"/>
            <w:tcBorders>
              <w:top w:val="double" w:sz="6" w:space="0" w:color="auto"/>
              <w:left w:val="single" w:sz="6" w:space="0" w:color="auto"/>
            </w:tcBorders>
          </w:tcPr>
          <w:p w:rsidR="00A364C9" w:rsidRDefault="00A364C9" w:rsidP="00B52E24">
            <w:pPr>
              <w:keepNext/>
              <w:keepLines/>
              <w:tabs>
                <w:tab w:val="left" w:pos="-720"/>
              </w:tabs>
              <w:suppressAutoHyphens/>
              <w:spacing w:before="90" w:after="54" w:line="228" w:lineRule="auto"/>
              <w:jc w:val="right"/>
            </w:pPr>
            <w:r>
              <w:t>$200,000</w:t>
            </w:r>
          </w:p>
        </w:tc>
        <w:tc>
          <w:tcPr>
            <w:tcW w:w="2160" w:type="dxa"/>
            <w:tcBorders>
              <w:top w:val="double" w:sz="6" w:space="0" w:color="auto"/>
              <w:left w:val="single" w:sz="6" w:space="0" w:color="auto"/>
            </w:tcBorders>
          </w:tcPr>
          <w:p w:rsidR="00A364C9" w:rsidRDefault="00A364C9" w:rsidP="00B52E24">
            <w:pPr>
              <w:keepNext/>
              <w:keepLines/>
              <w:tabs>
                <w:tab w:val="left" w:pos="-720"/>
              </w:tabs>
              <w:suppressAutoHyphens/>
              <w:spacing w:before="90" w:after="54" w:line="228" w:lineRule="auto"/>
              <w:jc w:val="right"/>
            </w:pPr>
            <w:r>
              <w:t>$120,000</w:t>
            </w:r>
          </w:p>
        </w:tc>
        <w:tc>
          <w:tcPr>
            <w:tcW w:w="1530" w:type="dxa"/>
            <w:tcBorders>
              <w:top w:val="double" w:sz="6" w:space="0" w:color="auto"/>
              <w:left w:val="single" w:sz="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p>
        </w:tc>
      </w:tr>
      <w:tr w:rsidR="00A364C9">
        <w:tc>
          <w:tcPr>
            <w:tcW w:w="3360" w:type="dxa"/>
            <w:tcBorders>
              <w:top w:val="single" w:sz="6" w:space="0" w:color="auto"/>
              <w:left w:val="single" w:sz="6" w:space="0" w:color="auto"/>
            </w:tcBorders>
          </w:tcPr>
          <w:p w:rsidR="00A364C9" w:rsidRDefault="00A364C9" w:rsidP="00B52E24">
            <w:pPr>
              <w:keepNext/>
              <w:keepLines/>
              <w:tabs>
                <w:tab w:val="left" w:pos="-720"/>
              </w:tabs>
              <w:suppressAutoHyphens/>
              <w:spacing w:before="90" w:after="54" w:line="228" w:lineRule="auto"/>
            </w:pPr>
            <w:r>
              <w:t>Less Land</w:t>
            </w:r>
          </w:p>
        </w:tc>
        <w:tc>
          <w:tcPr>
            <w:tcW w:w="1950" w:type="dxa"/>
            <w:tcBorders>
              <w:top w:val="single" w:sz="6" w:space="0" w:color="auto"/>
              <w:left w:val="single" w:sz="6" w:space="0" w:color="auto"/>
              <w:bottom w:val="single" w:sz="36" w:space="0" w:color="auto"/>
            </w:tcBorders>
          </w:tcPr>
          <w:p w:rsidR="00A364C9" w:rsidRDefault="00A364C9" w:rsidP="00B52E24">
            <w:pPr>
              <w:keepNext/>
              <w:keepLines/>
              <w:tabs>
                <w:tab w:val="left" w:pos="-720"/>
              </w:tabs>
              <w:suppressAutoHyphens/>
              <w:spacing w:before="90" w:after="54" w:line="228" w:lineRule="auto"/>
              <w:jc w:val="right"/>
            </w:pPr>
            <w:r>
              <w:t>-        0</w:t>
            </w:r>
          </w:p>
        </w:tc>
        <w:tc>
          <w:tcPr>
            <w:tcW w:w="2160" w:type="dxa"/>
            <w:tcBorders>
              <w:top w:val="single" w:sz="6" w:space="0" w:color="auto"/>
              <w:left w:val="single" w:sz="6" w:space="0" w:color="auto"/>
              <w:bottom w:val="single" w:sz="36" w:space="0" w:color="auto"/>
            </w:tcBorders>
          </w:tcPr>
          <w:p w:rsidR="00A364C9" w:rsidRDefault="00A364C9" w:rsidP="00B52E24">
            <w:pPr>
              <w:keepNext/>
              <w:keepLines/>
              <w:tabs>
                <w:tab w:val="left" w:pos="-720"/>
              </w:tabs>
              <w:suppressAutoHyphens/>
              <w:spacing w:before="90" w:after="54" w:line="228" w:lineRule="auto"/>
              <w:jc w:val="right"/>
            </w:pPr>
            <w:r>
              <w:t>-   20,000</w:t>
            </w:r>
          </w:p>
        </w:tc>
        <w:tc>
          <w:tcPr>
            <w:tcW w:w="1530" w:type="dxa"/>
            <w:tcBorders>
              <w:top w:val="single" w:sz="6" w:space="0" w:color="auto"/>
              <w:left w:val="single" w:sz="6" w:space="0" w:color="auto"/>
              <w:bottom w:val="single" w:sz="3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p>
        </w:tc>
      </w:tr>
      <w:tr w:rsidR="00A364C9">
        <w:tc>
          <w:tcPr>
            <w:tcW w:w="3360" w:type="dxa"/>
            <w:tcBorders>
              <w:top w:val="single" w:sz="6" w:space="0" w:color="auto"/>
              <w:left w:val="single" w:sz="6" w:space="0" w:color="auto"/>
            </w:tcBorders>
          </w:tcPr>
          <w:p w:rsidR="00A364C9" w:rsidRDefault="00A364C9" w:rsidP="00B52E24">
            <w:pPr>
              <w:keepNext/>
              <w:keepLines/>
              <w:tabs>
                <w:tab w:val="left" w:pos="-720"/>
              </w:tabs>
              <w:suppressAutoHyphens/>
              <w:spacing w:before="90" w:after="54" w:line="228" w:lineRule="auto"/>
            </w:pPr>
            <w:r>
              <w:t>Eligible Basis</w:t>
            </w:r>
          </w:p>
        </w:tc>
        <w:tc>
          <w:tcPr>
            <w:tcW w:w="1950" w:type="dxa"/>
            <w:tcBorders>
              <w:top w:val="single" w:sz="48" w:space="0" w:color="auto"/>
              <w:left w:val="single" w:sz="6" w:space="0" w:color="auto"/>
            </w:tcBorders>
          </w:tcPr>
          <w:p w:rsidR="00A364C9" w:rsidRDefault="00A364C9" w:rsidP="00B52E24">
            <w:pPr>
              <w:keepNext/>
              <w:keepLines/>
              <w:tabs>
                <w:tab w:val="left" w:pos="-720"/>
              </w:tabs>
              <w:suppressAutoHyphens/>
              <w:spacing w:before="90" w:after="54" w:line="228" w:lineRule="auto"/>
              <w:jc w:val="right"/>
            </w:pPr>
            <w:r>
              <w:t>$200,000</w:t>
            </w:r>
          </w:p>
        </w:tc>
        <w:tc>
          <w:tcPr>
            <w:tcW w:w="2160" w:type="dxa"/>
            <w:tcBorders>
              <w:top w:val="single" w:sz="48" w:space="0" w:color="auto"/>
              <w:left w:val="single" w:sz="6" w:space="0" w:color="auto"/>
            </w:tcBorders>
          </w:tcPr>
          <w:p w:rsidR="00A364C9" w:rsidRDefault="00A364C9" w:rsidP="00B52E24">
            <w:pPr>
              <w:keepNext/>
              <w:keepLines/>
              <w:tabs>
                <w:tab w:val="left" w:pos="-720"/>
              </w:tabs>
              <w:suppressAutoHyphens/>
              <w:spacing w:before="90" w:after="54" w:line="228" w:lineRule="auto"/>
              <w:jc w:val="right"/>
            </w:pPr>
            <w:r>
              <w:t>$100,000</w:t>
            </w:r>
          </w:p>
        </w:tc>
        <w:tc>
          <w:tcPr>
            <w:tcW w:w="1530" w:type="dxa"/>
            <w:tcBorders>
              <w:top w:val="single" w:sz="48" w:space="0" w:color="auto"/>
              <w:left w:val="single" w:sz="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p>
        </w:tc>
      </w:tr>
      <w:tr w:rsidR="00A364C9">
        <w:tc>
          <w:tcPr>
            <w:tcW w:w="3360" w:type="dxa"/>
            <w:tcBorders>
              <w:top w:val="single" w:sz="6" w:space="0" w:color="auto"/>
              <w:left w:val="single" w:sz="6" w:space="0" w:color="auto"/>
            </w:tcBorders>
          </w:tcPr>
          <w:p w:rsidR="00A364C9" w:rsidRDefault="00A364C9" w:rsidP="00B52E24">
            <w:pPr>
              <w:keepNext/>
              <w:keepLines/>
              <w:tabs>
                <w:tab w:val="left" w:pos="-720"/>
              </w:tabs>
              <w:suppressAutoHyphens/>
              <w:spacing w:before="90" w:line="228" w:lineRule="auto"/>
            </w:pPr>
            <w:r>
              <w:t>Difficult Development Area?</w:t>
            </w:r>
          </w:p>
          <w:p w:rsidR="00A364C9" w:rsidRDefault="00A364C9" w:rsidP="00B52E24">
            <w:pPr>
              <w:keepNext/>
              <w:keepLines/>
              <w:tabs>
                <w:tab w:val="left" w:pos="-720"/>
              </w:tabs>
              <w:suppressAutoHyphens/>
              <w:spacing w:after="54" w:line="228" w:lineRule="auto"/>
            </w:pPr>
            <w:r>
              <w:t>If yes, multiply eligible basis by up to 130%</w:t>
            </w:r>
          </w:p>
        </w:tc>
        <w:tc>
          <w:tcPr>
            <w:tcW w:w="1950" w:type="dxa"/>
            <w:tcBorders>
              <w:top w:val="single" w:sz="6" w:space="0" w:color="auto"/>
              <w:left w:val="single" w:sz="6" w:space="0" w:color="auto"/>
            </w:tcBorders>
          </w:tcPr>
          <w:p w:rsidR="00A364C9" w:rsidRDefault="00A364C9" w:rsidP="00B52E24">
            <w:pPr>
              <w:keepNext/>
              <w:keepLines/>
              <w:tabs>
                <w:tab w:val="left" w:pos="-720"/>
              </w:tabs>
              <w:suppressAutoHyphens/>
              <w:spacing w:before="90" w:line="228" w:lineRule="auto"/>
              <w:jc w:val="center"/>
            </w:pPr>
          </w:p>
          <w:p w:rsidR="00A364C9" w:rsidRDefault="00A364C9" w:rsidP="00B52E24">
            <w:pPr>
              <w:keepNext/>
              <w:keepLines/>
              <w:tabs>
                <w:tab w:val="left" w:pos="-720"/>
              </w:tabs>
              <w:suppressAutoHyphens/>
              <w:spacing w:after="54" w:line="228" w:lineRule="auto"/>
              <w:jc w:val="center"/>
            </w:pPr>
            <w:r>
              <w:t>No</w:t>
            </w:r>
          </w:p>
        </w:tc>
        <w:tc>
          <w:tcPr>
            <w:tcW w:w="2160" w:type="dxa"/>
            <w:tcBorders>
              <w:top w:val="single" w:sz="6" w:space="0" w:color="auto"/>
              <w:left w:val="single" w:sz="6" w:space="0" w:color="auto"/>
            </w:tcBorders>
          </w:tcPr>
          <w:p w:rsidR="00A364C9" w:rsidRDefault="00A364C9" w:rsidP="00B52E24">
            <w:pPr>
              <w:keepNext/>
              <w:keepLines/>
              <w:tabs>
                <w:tab w:val="left" w:pos="-720"/>
              </w:tabs>
              <w:suppressAutoHyphens/>
              <w:spacing w:before="90" w:line="228" w:lineRule="auto"/>
              <w:jc w:val="center"/>
            </w:pPr>
          </w:p>
          <w:p w:rsidR="00A364C9" w:rsidRDefault="00A364C9" w:rsidP="00B52E24">
            <w:pPr>
              <w:keepNext/>
              <w:keepLines/>
              <w:tabs>
                <w:tab w:val="left" w:pos="-720"/>
              </w:tabs>
              <w:suppressAutoHyphens/>
              <w:spacing w:after="54" w:line="228" w:lineRule="auto"/>
              <w:jc w:val="center"/>
            </w:pPr>
            <w:r>
              <w:t>No</w:t>
            </w:r>
          </w:p>
        </w:tc>
        <w:tc>
          <w:tcPr>
            <w:tcW w:w="1530" w:type="dxa"/>
            <w:tcBorders>
              <w:top w:val="single" w:sz="6" w:space="0" w:color="auto"/>
              <w:left w:val="single" w:sz="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p>
        </w:tc>
      </w:tr>
      <w:tr w:rsidR="00A364C9">
        <w:tc>
          <w:tcPr>
            <w:tcW w:w="3360" w:type="dxa"/>
            <w:tcBorders>
              <w:top w:val="single" w:sz="6" w:space="0" w:color="auto"/>
              <w:left w:val="single" w:sz="6" w:space="0" w:color="auto"/>
            </w:tcBorders>
          </w:tcPr>
          <w:p w:rsidR="00A364C9" w:rsidRDefault="00A364C9" w:rsidP="00B52E24">
            <w:pPr>
              <w:keepNext/>
              <w:keepLines/>
              <w:tabs>
                <w:tab w:val="left" w:pos="-720"/>
              </w:tabs>
              <w:suppressAutoHyphens/>
              <w:spacing w:before="90" w:after="54" w:line="228" w:lineRule="auto"/>
            </w:pPr>
            <w:r>
              <w:t>Percent of Low-Income Units</w:t>
            </w:r>
          </w:p>
        </w:tc>
        <w:tc>
          <w:tcPr>
            <w:tcW w:w="1950" w:type="dxa"/>
            <w:tcBorders>
              <w:top w:val="single" w:sz="6" w:space="0" w:color="auto"/>
              <w:left w:val="single" w:sz="6" w:space="0" w:color="auto"/>
              <w:bottom w:val="single" w:sz="36" w:space="0" w:color="auto"/>
            </w:tcBorders>
          </w:tcPr>
          <w:p w:rsidR="00A364C9" w:rsidRDefault="00A364C9" w:rsidP="00B52E24">
            <w:pPr>
              <w:keepNext/>
              <w:keepLines/>
              <w:tabs>
                <w:tab w:val="left" w:pos="-720"/>
              </w:tabs>
              <w:suppressAutoHyphens/>
              <w:spacing w:before="90" w:after="54" w:line="228" w:lineRule="auto"/>
              <w:jc w:val="right"/>
            </w:pPr>
            <w:r>
              <w:t>x      40%</w:t>
            </w:r>
          </w:p>
        </w:tc>
        <w:tc>
          <w:tcPr>
            <w:tcW w:w="2160" w:type="dxa"/>
            <w:tcBorders>
              <w:top w:val="single" w:sz="6" w:space="0" w:color="auto"/>
              <w:left w:val="single" w:sz="6" w:space="0" w:color="auto"/>
              <w:bottom w:val="single" w:sz="36" w:space="0" w:color="auto"/>
            </w:tcBorders>
          </w:tcPr>
          <w:p w:rsidR="00A364C9" w:rsidRDefault="00A364C9" w:rsidP="00B52E24">
            <w:pPr>
              <w:keepNext/>
              <w:keepLines/>
              <w:tabs>
                <w:tab w:val="left" w:pos="-720"/>
              </w:tabs>
              <w:suppressAutoHyphens/>
              <w:spacing w:before="90" w:after="54" w:line="228" w:lineRule="auto"/>
              <w:jc w:val="right"/>
            </w:pPr>
            <w:r>
              <w:t>x      40%</w:t>
            </w:r>
          </w:p>
        </w:tc>
        <w:tc>
          <w:tcPr>
            <w:tcW w:w="1530" w:type="dxa"/>
            <w:tcBorders>
              <w:top w:val="single" w:sz="6" w:space="0" w:color="auto"/>
              <w:left w:val="single" w:sz="6" w:space="0" w:color="auto"/>
              <w:bottom w:val="single" w:sz="3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p>
        </w:tc>
      </w:tr>
      <w:tr w:rsidR="00A364C9">
        <w:tc>
          <w:tcPr>
            <w:tcW w:w="3360" w:type="dxa"/>
            <w:tcBorders>
              <w:top w:val="single" w:sz="6" w:space="0" w:color="auto"/>
              <w:left w:val="single" w:sz="6" w:space="0" w:color="auto"/>
            </w:tcBorders>
          </w:tcPr>
          <w:p w:rsidR="00A364C9" w:rsidRDefault="00A364C9" w:rsidP="00B52E24">
            <w:pPr>
              <w:keepNext/>
              <w:keepLines/>
              <w:tabs>
                <w:tab w:val="left" w:pos="-720"/>
              </w:tabs>
              <w:suppressAutoHyphens/>
              <w:spacing w:before="90" w:after="54" w:line="228" w:lineRule="auto"/>
            </w:pPr>
            <w:r>
              <w:t>Qualified Basis</w:t>
            </w:r>
          </w:p>
        </w:tc>
        <w:tc>
          <w:tcPr>
            <w:tcW w:w="1950" w:type="dxa"/>
            <w:tcBorders>
              <w:top w:val="single" w:sz="48" w:space="0" w:color="auto"/>
              <w:left w:val="single" w:sz="6" w:space="0" w:color="auto"/>
            </w:tcBorders>
          </w:tcPr>
          <w:p w:rsidR="00A364C9" w:rsidRDefault="00A364C9" w:rsidP="00B52E24">
            <w:pPr>
              <w:keepNext/>
              <w:keepLines/>
              <w:tabs>
                <w:tab w:val="left" w:pos="-720"/>
              </w:tabs>
              <w:suppressAutoHyphens/>
              <w:spacing w:before="90" w:after="54" w:line="228" w:lineRule="auto"/>
              <w:jc w:val="right"/>
            </w:pPr>
            <w:r>
              <w:t>$ 80,000</w:t>
            </w:r>
          </w:p>
        </w:tc>
        <w:tc>
          <w:tcPr>
            <w:tcW w:w="2160" w:type="dxa"/>
            <w:tcBorders>
              <w:top w:val="single" w:sz="48" w:space="0" w:color="auto"/>
              <w:left w:val="single" w:sz="6" w:space="0" w:color="auto"/>
            </w:tcBorders>
          </w:tcPr>
          <w:p w:rsidR="00A364C9" w:rsidRDefault="00A364C9" w:rsidP="00B52E24">
            <w:pPr>
              <w:keepNext/>
              <w:keepLines/>
              <w:tabs>
                <w:tab w:val="left" w:pos="-720"/>
              </w:tabs>
              <w:suppressAutoHyphens/>
              <w:spacing w:before="90" w:after="54" w:line="228" w:lineRule="auto"/>
              <w:jc w:val="right"/>
            </w:pPr>
            <w:r>
              <w:t>$ 40,000</w:t>
            </w:r>
          </w:p>
        </w:tc>
        <w:tc>
          <w:tcPr>
            <w:tcW w:w="1530" w:type="dxa"/>
            <w:tcBorders>
              <w:top w:val="single" w:sz="48" w:space="0" w:color="auto"/>
              <w:left w:val="single" w:sz="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p>
        </w:tc>
      </w:tr>
      <w:tr w:rsidR="00A364C9">
        <w:tc>
          <w:tcPr>
            <w:tcW w:w="3360" w:type="dxa"/>
            <w:tcBorders>
              <w:top w:val="single" w:sz="6" w:space="0" w:color="auto"/>
              <w:left w:val="single" w:sz="6" w:space="0" w:color="auto"/>
            </w:tcBorders>
          </w:tcPr>
          <w:p w:rsidR="00A364C9" w:rsidRDefault="00A364C9" w:rsidP="00B52E24">
            <w:pPr>
              <w:keepNext/>
              <w:keepLines/>
              <w:tabs>
                <w:tab w:val="left" w:pos="-720"/>
              </w:tabs>
              <w:suppressAutoHyphens/>
              <w:spacing w:before="90" w:after="54" w:line="228" w:lineRule="auto"/>
            </w:pPr>
            <w:r>
              <w:t>Annual Credit Percentage</w:t>
            </w:r>
          </w:p>
        </w:tc>
        <w:tc>
          <w:tcPr>
            <w:tcW w:w="1950" w:type="dxa"/>
            <w:tcBorders>
              <w:top w:val="single" w:sz="6" w:space="0" w:color="auto"/>
              <w:left w:val="single" w:sz="6" w:space="0" w:color="auto"/>
              <w:bottom w:val="single" w:sz="36" w:space="0" w:color="auto"/>
            </w:tcBorders>
          </w:tcPr>
          <w:p w:rsidR="00A364C9" w:rsidRDefault="00A364C9" w:rsidP="00B52E24">
            <w:pPr>
              <w:keepNext/>
              <w:keepLines/>
              <w:tabs>
                <w:tab w:val="left" w:pos="-720"/>
              </w:tabs>
              <w:suppressAutoHyphens/>
              <w:spacing w:before="90" w:after="54" w:line="228" w:lineRule="auto"/>
              <w:jc w:val="right"/>
            </w:pPr>
            <w:r>
              <w:t>x       9%</w:t>
            </w:r>
          </w:p>
        </w:tc>
        <w:tc>
          <w:tcPr>
            <w:tcW w:w="2160" w:type="dxa"/>
            <w:tcBorders>
              <w:top w:val="single" w:sz="6" w:space="0" w:color="auto"/>
              <w:left w:val="single" w:sz="6" w:space="0" w:color="auto"/>
              <w:bottom w:val="single" w:sz="36" w:space="0" w:color="auto"/>
            </w:tcBorders>
          </w:tcPr>
          <w:p w:rsidR="00A364C9" w:rsidRDefault="00A364C9" w:rsidP="00B52E24">
            <w:pPr>
              <w:keepNext/>
              <w:keepLines/>
              <w:tabs>
                <w:tab w:val="left" w:pos="-720"/>
              </w:tabs>
              <w:suppressAutoHyphens/>
              <w:spacing w:before="90" w:after="54" w:line="228" w:lineRule="auto"/>
              <w:jc w:val="right"/>
            </w:pPr>
            <w:r>
              <w:t>x       4%</w:t>
            </w:r>
          </w:p>
        </w:tc>
        <w:tc>
          <w:tcPr>
            <w:tcW w:w="1530" w:type="dxa"/>
            <w:tcBorders>
              <w:top w:val="single" w:sz="6" w:space="0" w:color="auto"/>
              <w:left w:val="single" w:sz="6" w:space="0" w:color="auto"/>
              <w:bottom w:val="single" w:sz="3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p>
        </w:tc>
      </w:tr>
      <w:tr w:rsidR="00A364C9">
        <w:tc>
          <w:tcPr>
            <w:tcW w:w="3360" w:type="dxa"/>
            <w:tcBorders>
              <w:top w:val="single" w:sz="6" w:space="0" w:color="auto"/>
              <w:left w:val="single" w:sz="6" w:space="0" w:color="auto"/>
            </w:tcBorders>
          </w:tcPr>
          <w:p w:rsidR="00A364C9" w:rsidRDefault="00A364C9" w:rsidP="00B52E24">
            <w:pPr>
              <w:keepNext/>
              <w:keepLines/>
              <w:tabs>
                <w:tab w:val="left" w:pos="-720"/>
              </w:tabs>
              <w:suppressAutoHyphens/>
              <w:spacing w:before="90" w:after="54" w:line="228" w:lineRule="auto"/>
            </w:pPr>
            <w:r>
              <w:t>TOTAL ANNUAL CREDIT</w:t>
            </w:r>
          </w:p>
        </w:tc>
        <w:tc>
          <w:tcPr>
            <w:tcW w:w="1950" w:type="dxa"/>
            <w:tcBorders>
              <w:top w:val="single" w:sz="48" w:space="0" w:color="auto"/>
              <w:left w:val="single" w:sz="6" w:space="0" w:color="auto"/>
            </w:tcBorders>
          </w:tcPr>
          <w:p w:rsidR="00A364C9" w:rsidRDefault="00A364C9" w:rsidP="00B52E24">
            <w:pPr>
              <w:keepNext/>
              <w:keepLines/>
              <w:tabs>
                <w:tab w:val="left" w:pos="-720"/>
              </w:tabs>
              <w:suppressAutoHyphens/>
              <w:spacing w:before="90" w:after="54" w:line="228" w:lineRule="auto"/>
              <w:jc w:val="right"/>
            </w:pPr>
            <w:r>
              <w:t>$  7,200</w:t>
            </w:r>
          </w:p>
        </w:tc>
        <w:tc>
          <w:tcPr>
            <w:tcW w:w="2160" w:type="dxa"/>
            <w:tcBorders>
              <w:top w:val="single" w:sz="48" w:space="0" w:color="auto"/>
              <w:left w:val="single" w:sz="6" w:space="0" w:color="auto"/>
            </w:tcBorders>
          </w:tcPr>
          <w:p w:rsidR="00A364C9" w:rsidRDefault="00A364C9" w:rsidP="00B52E24">
            <w:pPr>
              <w:keepNext/>
              <w:keepLines/>
              <w:tabs>
                <w:tab w:val="left" w:pos="-720"/>
              </w:tabs>
              <w:suppressAutoHyphens/>
              <w:spacing w:before="90" w:after="54" w:line="228" w:lineRule="auto"/>
              <w:jc w:val="right"/>
            </w:pPr>
            <w:r>
              <w:t>$  1,600</w:t>
            </w:r>
          </w:p>
        </w:tc>
        <w:tc>
          <w:tcPr>
            <w:tcW w:w="1530" w:type="dxa"/>
            <w:tcBorders>
              <w:top w:val="single" w:sz="48" w:space="0" w:color="auto"/>
              <w:left w:val="single" w:sz="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r>
              <w:t>$  8,800</w:t>
            </w:r>
          </w:p>
        </w:tc>
      </w:tr>
      <w:tr w:rsidR="00A364C9">
        <w:tc>
          <w:tcPr>
            <w:tcW w:w="3360" w:type="dxa"/>
            <w:tcBorders>
              <w:top w:val="single" w:sz="6" w:space="0" w:color="auto"/>
              <w:left w:val="single" w:sz="6" w:space="0" w:color="auto"/>
            </w:tcBorders>
          </w:tcPr>
          <w:p w:rsidR="00A364C9" w:rsidRDefault="00A364C9" w:rsidP="00B52E24">
            <w:pPr>
              <w:keepNext/>
              <w:keepLines/>
              <w:tabs>
                <w:tab w:val="right" w:pos="3660"/>
              </w:tabs>
              <w:suppressAutoHyphens/>
              <w:spacing w:before="90" w:after="54" w:line="228" w:lineRule="auto"/>
            </w:pPr>
            <w:r>
              <w:t>Period of Credit (years)</w:t>
            </w:r>
          </w:p>
        </w:tc>
        <w:tc>
          <w:tcPr>
            <w:tcW w:w="1950" w:type="dxa"/>
            <w:tcBorders>
              <w:top w:val="single" w:sz="6" w:space="0" w:color="auto"/>
              <w:left w:val="single" w:sz="6" w:space="0" w:color="auto"/>
              <w:bottom w:val="single" w:sz="36" w:space="0" w:color="auto"/>
            </w:tcBorders>
          </w:tcPr>
          <w:p w:rsidR="00A364C9" w:rsidRDefault="00A364C9" w:rsidP="00B52E24">
            <w:pPr>
              <w:keepNext/>
              <w:keepLines/>
              <w:tabs>
                <w:tab w:val="left" w:pos="-720"/>
              </w:tabs>
              <w:suppressAutoHyphens/>
              <w:spacing w:before="90" w:after="54" w:line="228" w:lineRule="auto"/>
              <w:jc w:val="right"/>
            </w:pPr>
            <w:r>
              <w:t>x       10</w:t>
            </w:r>
          </w:p>
        </w:tc>
        <w:tc>
          <w:tcPr>
            <w:tcW w:w="2160" w:type="dxa"/>
            <w:tcBorders>
              <w:top w:val="single" w:sz="6" w:space="0" w:color="auto"/>
              <w:left w:val="single" w:sz="6" w:space="0" w:color="auto"/>
              <w:bottom w:val="single" w:sz="36" w:space="0" w:color="auto"/>
            </w:tcBorders>
          </w:tcPr>
          <w:p w:rsidR="00A364C9" w:rsidRDefault="00A364C9" w:rsidP="00B52E24">
            <w:pPr>
              <w:keepNext/>
              <w:keepLines/>
              <w:tabs>
                <w:tab w:val="left" w:pos="-720"/>
              </w:tabs>
              <w:suppressAutoHyphens/>
              <w:spacing w:before="90" w:after="54" w:line="228" w:lineRule="auto"/>
              <w:jc w:val="right"/>
            </w:pPr>
            <w:r>
              <w:t>x       10</w:t>
            </w:r>
          </w:p>
        </w:tc>
        <w:tc>
          <w:tcPr>
            <w:tcW w:w="1530" w:type="dxa"/>
            <w:tcBorders>
              <w:top w:val="single" w:sz="6" w:space="0" w:color="auto"/>
              <w:left w:val="single" w:sz="6" w:space="0" w:color="auto"/>
              <w:bottom w:val="single" w:sz="3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r>
              <w:t>x      10</w:t>
            </w:r>
          </w:p>
        </w:tc>
      </w:tr>
      <w:tr w:rsidR="00A364C9">
        <w:tc>
          <w:tcPr>
            <w:tcW w:w="3360" w:type="dxa"/>
            <w:tcBorders>
              <w:top w:val="single" w:sz="6" w:space="0" w:color="auto"/>
              <w:left w:val="single" w:sz="6" w:space="0" w:color="auto"/>
              <w:bottom w:val="single" w:sz="6" w:space="0" w:color="auto"/>
            </w:tcBorders>
          </w:tcPr>
          <w:p w:rsidR="00A364C9" w:rsidRDefault="00A364C9" w:rsidP="00B52E24">
            <w:pPr>
              <w:keepNext/>
              <w:keepLines/>
              <w:tabs>
                <w:tab w:val="left" w:pos="-720"/>
              </w:tabs>
              <w:suppressAutoHyphens/>
              <w:spacing w:before="90" w:after="54" w:line="228" w:lineRule="auto"/>
            </w:pPr>
            <w:r>
              <w:t>Value of Credit</w:t>
            </w:r>
          </w:p>
        </w:tc>
        <w:tc>
          <w:tcPr>
            <w:tcW w:w="1950" w:type="dxa"/>
            <w:tcBorders>
              <w:top w:val="single" w:sz="48" w:space="0" w:color="auto"/>
              <w:left w:val="single" w:sz="6" w:space="0" w:color="auto"/>
              <w:bottom w:val="single" w:sz="6" w:space="0" w:color="auto"/>
            </w:tcBorders>
          </w:tcPr>
          <w:p w:rsidR="00A364C9" w:rsidRDefault="00A364C9" w:rsidP="00B52E24">
            <w:pPr>
              <w:keepNext/>
              <w:keepLines/>
              <w:tabs>
                <w:tab w:val="left" w:pos="-720"/>
              </w:tabs>
              <w:suppressAutoHyphens/>
              <w:spacing w:before="90" w:after="54" w:line="228" w:lineRule="auto"/>
              <w:jc w:val="right"/>
            </w:pPr>
            <w:r>
              <w:t>$ 72,000</w:t>
            </w:r>
          </w:p>
        </w:tc>
        <w:tc>
          <w:tcPr>
            <w:tcW w:w="2160" w:type="dxa"/>
            <w:tcBorders>
              <w:top w:val="single" w:sz="48" w:space="0" w:color="auto"/>
              <w:left w:val="single" w:sz="6" w:space="0" w:color="auto"/>
              <w:bottom w:val="single" w:sz="6" w:space="0" w:color="auto"/>
            </w:tcBorders>
          </w:tcPr>
          <w:p w:rsidR="00A364C9" w:rsidRDefault="00A364C9" w:rsidP="00B52E24">
            <w:pPr>
              <w:keepNext/>
              <w:keepLines/>
              <w:tabs>
                <w:tab w:val="left" w:pos="-720"/>
              </w:tabs>
              <w:suppressAutoHyphens/>
              <w:spacing w:before="90" w:after="54" w:line="228" w:lineRule="auto"/>
              <w:jc w:val="right"/>
            </w:pPr>
            <w:r>
              <w:t>$ 16,000</w:t>
            </w:r>
          </w:p>
        </w:tc>
        <w:tc>
          <w:tcPr>
            <w:tcW w:w="1530" w:type="dxa"/>
            <w:tcBorders>
              <w:top w:val="single" w:sz="48" w:space="0" w:color="auto"/>
              <w:left w:val="single" w:sz="6" w:space="0" w:color="auto"/>
              <w:bottom w:val="single" w:sz="6" w:space="0" w:color="auto"/>
              <w:right w:val="single" w:sz="6" w:space="0" w:color="auto"/>
            </w:tcBorders>
          </w:tcPr>
          <w:p w:rsidR="00A364C9" w:rsidRDefault="00A364C9" w:rsidP="00B52E24">
            <w:pPr>
              <w:keepNext/>
              <w:keepLines/>
              <w:tabs>
                <w:tab w:val="left" w:pos="-720"/>
              </w:tabs>
              <w:suppressAutoHyphens/>
              <w:spacing w:before="90" w:after="54" w:line="228" w:lineRule="auto"/>
              <w:jc w:val="right"/>
            </w:pPr>
            <w:r>
              <w:t>$ 88,000</w:t>
            </w:r>
          </w:p>
        </w:tc>
      </w:tr>
    </w:tbl>
    <w:p w:rsidR="00A364C9" w:rsidRDefault="00A364C9" w:rsidP="00A364C9">
      <w:pPr>
        <w:keepNext/>
        <w:keepLines/>
        <w:tabs>
          <w:tab w:val="left" w:pos="-720"/>
        </w:tabs>
        <w:suppressAutoHyphens/>
        <w:spacing w:line="228" w:lineRule="auto"/>
      </w:pPr>
    </w:p>
    <w:p w:rsidR="00A364C9" w:rsidRDefault="00A364C9" w:rsidP="00A364C9">
      <w:pPr>
        <w:keepNext/>
        <w:keepLines/>
        <w:tabs>
          <w:tab w:val="left" w:pos="-720"/>
        </w:tabs>
        <w:suppressAutoHyphens/>
        <w:spacing w:line="228" w:lineRule="auto"/>
      </w:pPr>
    </w:p>
    <w:p w:rsidR="00124D50" w:rsidRDefault="00124D50" w:rsidP="00A364C9">
      <w:pPr>
        <w:tabs>
          <w:tab w:val="left" w:pos="-720"/>
          <w:tab w:val="left" w:pos="0"/>
        </w:tabs>
        <w:suppressAutoHyphens/>
        <w:spacing w:line="228" w:lineRule="auto"/>
        <w:ind w:left="720" w:hanging="720"/>
      </w:pPr>
    </w:p>
    <w:p w:rsidR="00124D50" w:rsidRDefault="00124D50" w:rsidP="00A364C9">
      <w:pPr>
        <w:tabs>
          <w:tab w:val="left" w:pos="-720"/>
          <w:tab w:val="left" w:pos="0"/>
        </w:tabs>
        <w:suppressAutoHyphens/>
        <w:spacing w:line="228" w:lineRule="auto"/>
        <w:ind w:left="720" w:hanging="720"/>
      </w:pPr>
    </w:p>
    <w:p w:rsidR="006D4644" w:rsidRDefault="006D4644" w:rsidP="00A364C9">
      <w:pPr>
        <w:tabs>
          <w:tab w:val="left" w:pos="-720"/>
          <w:tab w:val="left" w:pos="0"/>
        </w:tabs>
        <w:suppressAutoHyphens/>
        <w:spacing w:line="228" w:lineRule="auto"/>
        <w:ind w:left="720" w:hanging="720"/>
      </w:pPr>
    </w:p>
    <w:p w:rsidR="006D4644" w:rsidRDefault="006D4644" w:rsidP="00A364C9">
      <w:pPr>
        <w:tabs>
          <w:tab w:val="left" w:pos="-720"/>
          <w:tab w:val="left" w:pos="0"/>
        </w:tabs>
        <w:suppressAutoHyphens/>
        <w:spacing w:line="228" w:lineRule="auto"/>
        <w:ind w:left="720" w:hanging="720"/>
      </w:pPr>
    </w:p>
    <w:p w:rsidR="006D4644" w:rsidRDefault="006D4644" w:rsidP="00A364C9">
      <w:pPr>
        <w:tabs>
          <w:tab w:val="left" w:pos="-720"/>
          <w:tab w:val="left" w:pos="0"/>
        </w:tabs>
        <w:suppressAutoHyphens/>
        <w:spacing w:line="228" w:lineRule="auto"/>
        <w:ind w:left="720" w:hanging="720"/>
      </w:pPr>
    </w:p>
    <w:p w:rsidR="006D4644" w:rsidRDefault="006D4644" w:rsidP="00A364C9">
      <w:pPr>
        <w:tabs>
          <w:tab w:val="left" w:pos="-720"/>
          <w:tab w:val="left" w:pos="0"/>
        </w:tabs>
        <w:suppressAutoHyphens/>
        <w:spacing w:line="228" w:lineRule="auto"/>
        <w:ind w:left="720" w:hanging="720"/>
      </w:pPr>
    </w:p>
    <w:p w:rsidR="006D4644" w:rsidRDefault="006D4644" w:rsidP="00A364C9">
      <w:pPr>
        <w:tabs>
          <w:tab w:val="left" w:pos="-720"/>
          <w:tab w:val="left" w:pos="0"/>
        </w:tabs>
        <w:suppressAutoHyphens/>
        <w:spacing w:line="228" w:lineRule="auto"/>
        <w:ind w:left="720" w:hanging="720"/>
      </w:pPr>
    </w:p>
    <w:p w:rsidR="00124D50" w:rsidRDefault="00124D50" w:rsidP="00A364C9">
      <w:pPr>
        <w:tabs>
          <w:tab w:val="left" w:pos="-720"/>
          <w:tab w:val="left" w:pos="0"/>
        </w:tabs>
        <w:suppressAutoHyphens/>
        <w:spacing w:line="228" w:lineRule="auto"/>
        <w:ind w:left="720" w:hanging="720"/>
      </w:pPr>
    </w:p>
    <w:p w:rsidR="00A364C9" w:rsidRDefault="00A364C9" w:rsidP="00A364C9">
      <w:pPr>
        <w:tabs>
          <w:tab w:val="left" w:pos="-720"/>
          <w:tab w:val="left" w:pos="0"/>
        </w:tabs>
        <w:suppressAutoHyphens/>
        <w:spacing w:line="228" w:lineRule="auto"/>
        <w:ind w:left="720" w:hanging="720"/>
      </w:pPr>
      <w:r>
        <w:lastRenderedPageBreak/>
        <w:fldChar w:fldCharType="begin"/>
      </w:r>
      <w:r>
        <w:instrText xml:space="preserve">PRIVATE </w:instrText>
      </w:r>
      <w:r>
        <w:fldChar w:fldCharType="end"/>
      </w:r>
      <w:r>
        <w:t>H.</w:t>
      </w:r>
      <w:r>
        <w:tab/>
      </w:r>
      <w:r>
        <w:rPr>
          <w:b/>
          <w:u w:val="single"/>
        </w:rPr>
        <w:t>Placed in Service</w:t>
      </w:r>
      <w:r>
        <w:rPr>
          <w:b/>
          <w:u w:val="single"/>
        </w:rPr>
        <w:fldChar w:fldCharType="begin"/>
      </w:r>
      <w:r>
        <w:instrText>tc  \l 2 "H.</w:instrText>
      </w:r>
      <w:r>
        <w:tab/>
      </w:r>
      <w:r>
        <w:rPr>
          <w:b/>
          <w:u w:val="single"/>
        </w:rPr>
        <w:instrText>Placed in Service</w:instrText>
      </w:r>
      <w:r>
        <w:instrText>"</w:instrText>
      </w:r>
      <w:r>
        <w:rPr>
          <w:b/>
          <w:u w:val="single"/>
        </w:rPr>
        <w:fldChar w:fldCharType="end"/>
      </w:r>
    </w:p>
    <w:p w:rsidR="00A364C9" w:rsidRDefault="00A364C9" w:rsidP="00A364C9">
      <w:pPr>
        <w:tabs>
          <w:tab w:val="left" w:pos="-720"/>
        </w:tabs>
        <w:suppressAutoHyphens/>
        <w:spacing w:line="228" w:lineRule="auto"/>
      </w:pPr>
    </w:p>
    <w:p w:rsidR="00A364C9" w:rsidRDefault="00A364C9" w:rsidP="00A364C9">
      <w:pPr>
        <w:tabs>
          <w:tab w:val="left" w:pos="-720"/>
          <w:tab w:val="left" w:pos="0"/>
        </w:tabs>
        <w:suppressAutoHyphens/>
        <w:spacing w:line="228" w:lineRule="auto"/>
        <w:ind w:left="720" w:hanging="720"/>
        <w:jc w:val="both"/>
      </w:pPr>
      <w:r>
        <w:tab/>
        <w:t xml:space="preserve">The term "Placed in Service" means that a building is completed and ready to be occupied.  The Placed in Service date is typically when a municipality issues a certificate of occupancy.  A building must generally be </w:t>
      </w:r>
      <w:proofErr w:type="gramStart"/>
      <w:r>
        <w:t>Placed</w:t>
      </w:r>
      <w:proofErr w:type="gramEnd"/>
      <w:r>
        <w:t xml:space="preserve"> in Service in the same year for which the HC is approved, unless a Carryover Allocation is granted by VHFA (See Section O - Carryover Allocations).  Owners must receive an allocation of credits (either a Carryover Allocation or a Final Allocation - IRS Form 8609) for a project in the calendar year in which the last building in the project is </w:t>
      </w:r>
      <w:proofErr w:type="gramStart"/>
      <w:r>
        <w:t>Placed</w:t>
      </w:r>
      <w:proofErr w:type="gramEnd"/>
      <w:r>
        <w:t xml:space="preserve"> in Service.  Prior to being able to claim the credit, owners must receive the final allocation of credits (IRS Form 8609).  The credit may be claimed either in the year the project is Placed in Service or in the subsequent year.</w:t>
      </w:r>
    </w:p>
    <w:p w:rsidR="00A364C9" w:rsidRDefault="00A364C9" w:rsidP="00A364C9">
      <w:pPr>
        <w:tabs>
          <w:tab w:val="left" w:pos="-720"/>
        </w:tabs>
        <w:suppressAutoHyphens/>
        <w:spacing w:line="228" w:lineRule="auto"/>
      </w:pPr>
    </w:p>
    <w:p w:rsidR="00A364C9" w:rsidRDefault="00A364C9" w:rsidP="00A364C9">
      <w:pPr>
        <w:tabs>
          <w:tab w:val="left" w:pos="-720"/>
        </w:tabs>
        <w:suppressAutoHyphens/>
        <w:spacing w:line="228" w:lineRule="auto"/>
      </w:pPr>
      <w:r>
        <w:fldChar w:fldCharType="begin"/>
      </w:r>
      <w:r>
        <w:instrText xml:space="preserve">PRIVATE </w:instrText>
      </w:r>
      <w:r>
        <w:fldChar w:fldCharType="end"/>
      </w:r>
      <w:r>
        <w:t>I.</w:t>
      </w:r>
      <w:r>
        <w:tab/>
      </w:r>
      <w:r>
        <w:rPr>
          <w:b/>
          <w:u w:val="single"/>
        </w:rPr>
        <w:t>Tenant Income and Rental Restrictions</w:t>
      </w:r>
      <w:r>
        <w:rPr>
          <w:b/>
          <w:u w:val="single"/>
        </w:rPr>
        <w:fldChar w:fldCharType="begin"/>
      </w:r>
      <w:r>
        <w:instrText>tc  \l 2 "I.</w:instrText>
      </w:r>
      <w:r>
        <w:tab/>
      </w:r>
      <w:r>
        <w:rPr>
          <w:b/>
          <w:u w:val="single"/>
        </w:rPr>
        <w:instrText>Tenant Income and Rental Restrictions</w:instrText>
      </w:r>
      <w:r>
        <w:instrText>"</w:instrText>
      </w:r>
      <w:r>
        <w:rPr>
          <w:b/>
          <w:u w:val="single"/>
        </w:rPr>
        <w:fldChar w:fldCharType="end"/>
      </w:r>
    </w:p>
    <w:p w:rsidR="00A364C9" w:rsidRDefault="00A364C9" w:rsidP="00A364C9">
      <w:pPr>
        <w:tabs>
          <w:tab w:val="left" w:pos="-720"/>
        </w:tabs>
        <w:suppressAutoHyphens/>
        <w:spacing w:line="228" w:lineRule="auto"/>
      </w:pPr>
    </w:p>
    <w:p w:rsidR="00A364C9" w:rsidRDefault="00A364C9" w:rsidP="00A364C9">
      <w:pPr>
        <w:tabs>
          <w:tab w:val="left" w:pos="-720"/>
          <w:tab w:val="left" w:pos="0"/>
        </w:tabs>
        <w:suppressAutoHyphens/>
        <w:spacing w:line="228" w:lineRule="auto"/>
        <w:ind w:left="720" w:hanging="720"/>
      </w:pPr>
      <w:r>
        <w:tab/>
        <w:t>In order to qualify for the program, owners must agree to certain tenant income and rental restrictions, which must be continuously maintained for a 30-year compliance period.  Tables showing the current income and gross rent limits for each county are located in the Appendix of this application packet.  Income limits (and, thus, gross rent limits) are typically adjusted on an annual basis by HUD.</w:t>
      </w:r>
    </w:p>
    <w:p w:rsidR="00A364C9" w:rsidRDefault="00A364C9" w:rsidP="00A364C9">
      <w:pPr>
        <w:tabs>
          <w:tab w:val="left" w:pos="-720"/>
        </w:tabs>
        <w:suppressAutoHyphens/>
        <w:spacing w:line="228" w:lineRule="auto"/>
      </w:pPr>
    </w:p>
    <w:p w:rsidR="00A364C9" w:rsidRDefault="00A364C9" w:rsidP="00A364C9">
      <w:pPr>
        <w:tabs>
          <w:tab w:val="left" w:pos="-720"/>
          <w:tab w:val="left" w:pos="0"/>
          <w:tab w:val="left" w:pos="720"/>
        </w:tabs>
        <w:suppressAutoHyphens/>
        <w:spacing w:line="228" w:lineRule="auto"/>
        <w:ind w:left="1440" w:hanging="1440"/>
        <w:jc w:val="both"/>
      </w:pPr>
      <w:r>
        <w:tab/>
        <w:t>1.</w:t>
      </w:r>
      <w:r>
        <w:tab/>
        <w:t>Income Restrictions: The owner must irrevocab</w:t>
      </w:r>
      <w:r>
        <w:softHyphen/>
        <w:t xml:space="preserve">ly elect to reserve a minimum of either: </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 w:val="left" w:pos="720"/>
          <w:tab w:val="left" w:pos="1440"/>
        </w:tabs>
        <w:suppressAutoHyphens/>
        <w:spacing w:line="228" w:lineRule="auto"/>
        <w:ind w:left="2160" w:hanging="2160"/>
        <w:jc w:val="both"/>
      </w:pPr>
      <w:r>
        <w:tab/>
      </w:r>
      <w:r>
        <w:tab/>
      </w:r>
      <w:proofErr w:type="gramStart"/>
      <w:r>
        <w:t>a.</w:t>
      </w:r>
      <w:r w:rsidR="0020037B">
        <w:t xml:space="preserve"> </w:t>
      </w:r>
      <w:r>
        <w:t>20</w:t>
      </w:r>
      <w:proofErr w:type="gramEnd"/>
      <w:r>
        <w:t>% of the building units for occupancy by households at or below 50% of the Area Median Income; or</w:t>
      </w:r>
    </w:p>
    <w:p w:rsidR="00A364C9" w:rsidRDefault="00A364C9" w:rsidP="00A364C9">
      <w:pPr>
        <w:tabs>
          <w:tab w:val="left" w:pos="-720"/>
        </w:tabs>
        <w:suppressAutoHyphens/>
        <w:spacing w:line="228" w:lineRule="auto"/>
        <w:jc w:val="both"/>
      </w:pPr>
    </w:p>
    <w:p w:rsidR="00A364C9" w:rsidRDefault="00A364C9" w:rsidP="006E3484">
      <w:pPr>
        <w:tabs>
          <w:tab w:val="left" w:pos="-720"/>
          <w:tab w:val="left" w:pos="0"/>
          <w:tab w:val="left" w:pos="720"/>
          <w:tab w:val="left" w:pos="1440"/>
        </w:tabs>
        <w:suppressAutoHyphens/>
        <w:spacing w:line="228" w:lineRule="auto"/>
        <w:ind w:left="2160" w:hanging="2160"/>
        <w:jc w:val="both"/>
      </w:pPr>
      <w:r>
        <w:tab/>
      </w:r>
      <w:r>
        <w:tab/>
      </w:r>
      <w:proofErr w:type="gramStart"/>
      <w:r>
        <w:t>b.</w:t>
      </w:r>
      <w:r w:rsidR="0020037B">
        <w:t xml:space="preserve"> </w:t>
      </w:r>
      <w:r>
        <w:t>40</w:t>
      </w:r>
      <w:proofErr w:type="gramEnd"/>
      <w:r>
        <w:t xml:space="preserve">% of the units for occupancy by households at or below 60% of the Area Median Income; or </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 w:val="left" w:pos="720"/>
          <w:tab w:val="left" w:pos="1440"/>
        </w:tabs>
        <w:suppressAutoHyphens/>
        <w:spacing w:line="228" w:lineRule="auto"/>
        <w:ind w:left="2160" w:hanging="2160"/>
        <w:jc w:val="both"/>
      </w:pPr>
      <w:r>
        <w:tab/>
      </w:r>
      <w:r>
        <w:tab/>
        <w:t>c.</w:t>
      </w:r>
      <w:r w:rsidR="0020037B">
        <w:t xml:space="preserve"> </w:t>
      </w:r>
      <w:r w:rsidR="0020037B">
        <w:tab/>
      </w:r>
      <w:r>
        <w:t>Deep Skewing - 15% of the building units for occupancy by households below 40% of Area</w:t>
      </w:r>
      <w:r w:rsidR="0020037B">
        <w:t xml:space="preserve"> </w:t>
      </w:r>
      <w:r>
        <w:t>Median Income.  In addition, the market rents cannot exceed the deep skewing rents by more than 300%.</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 w:val="left" w:pos="720"/>
        </w:tabs>
        <w:suppressAutoHyphens/>
        <w:spacing w:line="228" w:lineRule="auto"/>
        <w:ind w:left="1440" w:hanging="1440"/>
        <w:jc w:val="both"/>
      </w:pPr>
      <w:r>
        <w:tab/>
        <w:t>2.</w:t>
      </w:r>
      <w:r>
        <w:tab/>
        <w:t>Rent Restrictions: The gross rent (including an allowance for utilities) paid by residents in the qualifying units cannot exceed 30% of the maximum qualifying income for a family of an assumed size given the number of bedrooms in the unit. Congress has mandated that there shall be an assumed 1.5 persons per bedroom for this purpose.</w:t>
      </w:r>
    </w:p>
    <w:p w:rsidR="00A364C9" w:rsidRDefault="00A364C9" w:rsidP="00A364C9">
      <w:pPr>
        <w:tabs>
          <w:tab w:val="left" w:pos="-720"/>
        </w:tabs>
        <w:suppressAutoHyphens/>
        <w:spacing w:line="228" w:lineRule="auto"/>
      </w:pPr>
    </w:p>
    <w:p w:rsidR="00A364C9" w:rsidRDefault="00A364C9" w:rsidP="00A364C9">
      <w:pPr>
        <w:tabs>
          <w:tab w:val="left" w:pos="-720"/>
          <w:tab w:val="left" w:pos="0"/>
          <w:tab w:val="left" w:pos="720"/>
        </w:tabs>
        <w:suppressAutoHyphens/>
        <w:spacing w:line="228" w:lineRule="auto"/>
        <w:ind w:left="1440" w:hanging="1440"/>
        <w:jc w:val="both"/>
      </w:pPr>
      <w:r>
        <w:tab/>
      </w:r>
      <w:r>
        <w:tab/>
        <w:t xml:space="preserve">The rent limitation applies only to payments made directly by tenants and not to rental assistance payments (e.g. Section 8 certificate) paid on a tenant's behalf. </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 w:val="left" w:pos="720"/>
        </w:tabs>
        <w:suppressAutoHyphens/>
        <w:spacing w:line="228" w:lineRule="auto"/>
        <w:ind w:left="1440" w:hanging="1440"/>
        <w:jc w:val="both"/>
      </w:pPr>
      <w:r>
        <w:tab/>
      </w:r>
      <w:r>
        <w:tab/>
        <w:t>An increase in a tenant's income may result in a unit ceasing to qualify as occupied by a low</w:t>
      </w:r>
      <w:r>
        <w:noBreakHyphen/>
        <w:t xml:space="preserve">income household.  A tenant who initially qualifies will continue to qualify so long as the tenant's income does not increase to more than 140% of the maximum qualifying income, adjusted for family size.  If the tenant's income increases to over 140% of the maximum qualifying income, or the family size decreases so that a lower maximum family income applies, that unit is not in compliance as part of the "qualifying basis."  However, no penalty is assessed as long as the next unit of comparable or smaller size that becomes vacant is occupied by qualifying tenants. </w:t>
      </w:r>
    </w:p>
    <w:p w:rsidR="00A364C9" w:rsidRDefault="00A364C9" w:rsidP="00A364C9">
      <w:pPr>
        <w:tabs>
          <w:tab w:val="left" w:pos="-720"/>
        </w:tabs>
        <w:suppressAutoHyphens/>
        <w:spacing w:line="228" w:lineRule="auto"/>
        <w:jc w:val="both"/>
      </w:pPr>
    </w:p>
    <w:p w:rsidR="00A364C9" w:rsidRDefault="00A364C9" w:rsidP="00A364C9">
      <w:pPr>
        <w:pStyle w:val="BodyTextIndent2"/>
      </w:pPr>
      <w:r>
        <w:lastRenderedPageBreak/>
        <w:tab/>
      </w:r>
      <w:r>
        <w:tab/>
        <w:t>A household totally comprised of full-time students does not qualify as an eligible low-income household regardless of income level.  However, there are exceptions for married students, TANF recipients, students involved in federal job training programs, and single parent households.</w:t>
      </w:r>
    </w:p>
    <w:p w:rsidR="00A364C9" w:rsidRDefault="00A364C9" w:rsidP="00A364C9">
      <w:pPr>
        <w:tabs>
          <w:tab w:val="left" w:pos="-720"/>
        </w:tabs>
        <w:suppressAutoHyphens/>
        <w:spacing w:line="228" w:lineRule="auto"/>
      </w:pPr>
    </w:p>
    <w:p w:rsidR="00124D50" w:rsidRDefault="00124D50" w:rsidP="00A364C9">
      <w:pPr>
        <w:tabs>
          <w:tab w:val="left" w:pos="-720"/>
        </w:tabs>
        <w:suppressAutoHyphens/>
        <w:spacing w:line="228" w:lineRule="auto"/>
      </w:pPr>
    </w:p>
    <w:p w:rsidR="00A364C9" w:rsidRDefault="00A364C9" w:rsidP="00A364C9">
      <w:pPr>
        <w:tabs>
          <w:tab w:val="left" w:pos="-720"/>
        </w:tabs>
        <w:suppressAutoHyphens/>
        <w:spacing w:line="228" w:lineRule="auto"/>
      </w:pPr>
      <w:r>
        <w:fldChar w:fldCharType="begin"/>
      </w:r>
      <w:r>
        <w:instrText xml:space="preserve">PRIVATE </w:instrText>
      </w:r>
      <w:r>
        <w:fldChar w:fldCharType="end"/>
      </w:r>
      <w:r>
        <w:t>J.</w:t>
      </w:r>
      <w:r>
        <w:rPr>
          <w:b/>
        </w:rPr>
        <w:tab/>
      </w:r>
      <w:r>
        <w:rPr>
          <w:b/>
          <w:u w:val="single"/>
        </w:rPr>
        <w:t>Utility Allowances</w:t>
      </w:r>
      <w:r>
        <w:rPr>
          <w:b/>
          <w:u w:val="single"/>
        </w:rPr>
        <w:fldChar w:fldCharType="begin"/>
      </w:r>
      <w:r>
        <w:instrText>tc  \l 2 "J.</w:instrText>
      </w:r>
      <w:r>
        <w:rPr>
          <w:b/>
        </w:rPr>
        <w:tab/>
      </w:r>
      <w:r>
        <w:rPr>
          <w:b/>
          <w:u w:val="single"/>
        </w:rPr>
        <w:instrText>Utility Allowances</w:instrText>
      </w:r>
      <w:bookmarkStart w:id="0" w:name="UTILITY3"/>
      <w:bookmarkEnd w:id="0"/>
      <w:r>
        <w:instrText>"</w:instrText>
      </w:r>
      <w:r>
        <w:rPr>
          <w:b/>
          <w:u w:val="single"/>
        </w:rPr>
        <w:fldChar w:fldCharType="end"/>
      </w:r>
    </w:p>
    <w:p w:rsidR="00A364C9" w:rsidRDefault="00A364C9" w:rsidP="00A364C9">
      <w:pPr>
        <w:tabs>
          <w:tab w:val="left" w:pos="-720"/>
        </w:tabs>
        <w:suppressAutoHyphens/>
        <w:spacing w:line="228" w:lineRule="auto"/>
      </w:pPr>
    </w:p>
    <w:p w:rsidR="0031387D" w:rsidRPr="0031387D" w:rsidRDefault="00A364C9" w:rsidP="00A364C9">
      <w:pPr>
        <w:tabs>
          <w:tab w:val="left" w:pos="-720"/>
          <w:tab w:val="left" w:pos="0"/>
        </w:tabs>
        <w:suppressAutoHyphens/>
        <w:spacing w:line="228" w:lineRule="auto"/>
        <w:ind w:left="720" w:hanging="720"/>
        <w:jc w:val="both"/>
        <w:rPr>
          <w:color w:val="FFFFFF"/>
        </w:rPr>
      </w:pPr>
      <w:r>
        <w:tab/>
        <w:t>As indicated in the previous Section, utility allowances (shown in Appendix F) are subtracted from the maximum rents (shown Appendix E) that can be paid by residents in qualifying units</w:t>
      </w:r>
      <w:r w:rsidRPr="0031387D">
        <w:t>.</w:t>
      </w:r>
      <w:r w:rsidR="0031387D" w:rsidRPr="0031387D">
        <w:t xml:space="preserve"> </w:t>
      </w:r>
      <w:r w:rsidR="0031387D" w:rsidRPr="0031387D">
        <w:rPr>
          <w:sz w:val="16"/>
          <w:szCs w:val="16"/>
          <w:vertAlign w:val="superscript"/>
        </w:rPr>
        <w:t>5</w:t>
      </w:r>
      <w:r w:rsidRPr="0031387D">
        <w:rPr>
          <w:rStyle w:val="FootnoteReference"/>
          <w:color w:val="FFFFFF"/>
        </w:rPr>
        <w:footnoteReference w:id="4"/>
      </w:r>
      <w:r w:rsidRPr="0031387D">
        <w:rPr>
          <w:color w:val="FFFFFF"/>
        </w:rPr>
        <w:t xml:space="preserve"> </w:t>
      </w:r>
    </w:p>
    <w:p w:rsidR="00A364C9" w:rsidRDefault="0031387D" w:rsidP="00A364C9">
      <w:pPr>
        <w:tabs>
          <w:tab w:val="left" w:pos="-720"/>
          <w:tab w:val="left" w:pos="0"/>
        </w:tabs>
        <w:suppressAutoHyphens/>
        <w:spacing w:line="228" w:lineRule="auto"/>
        <w:ind w:left="720" w:hanging="720"/>
        <w:jc w:val="both"/>
      </w:pPr>
      <w:r>
        <w:tab/>
      </w:r>
      <w:r w:rsidR="00A364C9">
        <w:t>The IRS rules regarding utility allowances can be summarized as follows:</w:t>
      </w:r>
    </w:p>
    <w:p w:rsidR="00A364C9" w:rsidRDefault="00A364C9" w:rsidP="00A364C9">
      <w:pPr>
        <w:tabs>
          <w:tab w:val="left" w:pos="-720"/>
          <w:tab w:val="left" w:pos="0"/>
          <w:tab w:val="left" w:pos="720"/>
        </w:tabs>
        <w:suppressAutoHyphens/>
        <w:spacing w:line="228" w:lineRule="auto"/>
        <w:ind w:left="1440" w:right="720" w:hanging="1440"/>
        <w:jc w:val="both"/>
      </w:pPr>
    </w:p>
    <w:p w:rsidR="00A364C9" w:rsidRDefault="00A364C9" w:rsidP="00A364C9">
      <w:pPr>
        <w:tabs>
          <w:tab w:val="left" w:pos="-720"/>
          <w:tab w:val="left" w:pos="0"/>
          <w:tab w:val="left" w:pos="720"/>
        </w:tabs>
        <w:suppressAutoHyphens/>
        <w:spacing w:line="228" w:lineRule="auto"/>
        <w:ind w:left="1440" w:right="720" w:hanging="1440"/>
        <w:jc w:val="both"/>
      </w:pPr>
      <w:r>
        <w:tab/>
        <w:t>1.</w:t>
      </w:r>
      <w:r>
        <w:tab/>
        <w:t>Owners of HUD regulated buildings must use HUD utility allowances.</w:t>
      </w:r>
    </w:p>
    <w:p w:rsidR="00A364C9" w:rsidRDefault="00A364C9" w:rsidP="00A364C9">
      <w:pPr>
        <w:tabs>
          <w:tab w:val="left" w:pos="-720"/>
        </w:tabs>
        <w:suppressAutoHyphens/>
        <w:spacing w:line="228" w:lineRule="auto"/>
        <w:jc w:val="both"/>
      </w:pPr>
      <w:r>
        <w:tab/>
      </w:r>
      <w:r>
        <w:tab/>
      </w:r>
    </w:p>
    <w:p w:rsidR="00A364C9" w:rsidRDefault="00A364C9" w:rsidP="00A364C9">
      <w:pPr>
        <w:numPr>
          <w:ilvl w:val="0"/>
          <w:numId w:val="13"/>
        </w:numPr>
        <w:tabs>
          <w:tab w:val="left" w:pos="-720"/>
          <w:tab w:val="left" w:pos="0"/>
          <w:tab w:val="left" w:pos="720"/>
        </w:tabs>
        <w:suppressAutoHyphens/>
        <w:spacing w:line="228" w:lineRule="auto"/>
        <w:jc w:val="both"/>
      </w:pPr>
      <w:r>
        <w:t>If the building or any tenant is receiving U.S.D.A. Rural Development (RD)</w:t>
      </w:r>
    </w:p>
    <w:p w:rsidR="00A364C9" w:rsidRDefault="00A364C9" w:rsidP="00A364C9">
      <w:pPr>
        <w:tabs>
          <w:tab w:val="left" w:pos="-720"/>
          <w:tab w:val="left" w:pos="0"/>
          <w:tab w:val="left" w:pos="720"/>
        </w:tabs>
        <w:suppressAutoHyphens/>
        <w:spacing w:line="228" w:lineRule="auto"/>
        <w:ind w:left="720"/>
        <w:jc w:val="both"/>
      </w:pPr>
      <w:r>
        <w:tab/>
      </w:r>
      <w:proofErr w:type="gramStart"/>
      <w:r>
        <w:t>assis</w:t>
      </w:r>
      <w:r>
        <w:softHyphen/>
        <w:t>tance</w:t>
      </w:r>
      <w:proofErr w:type="gramEnd"/>
      <w:r>
        <w:t>, RD utility allowances must be used.</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 w:val="left" w:pos="720"/>
        </w:tabs>
        <w:suppressAutoHyphens/>
        <w:spacing w:line="228" w:lineRule="auto"/>
        <w:ind w:left="1440" w:right="720" w:hanging="1440"/>
        <w:jc w:val="both"/>
      </w:pPr>
      <w:r>
        <w:tab/>
        <w:t>3.</w:t>
      </w:r>
      <w:r>
        <w:tab/>
        <w:t>All other owners must use the utility allowances calculated by the Vermont State Housing Authority, unless the local Public Housing Authority has published its own utility allowances.  However, any interested party (e.g. owner, tenant, local housing authority) can request a utility cost estimate from a local utility company and this estimate must be used, whether higher or lower.  The estimate of the local utility will govern, except for individual units receiving assistance under the HUD Section 8 Certificate or Voucher Program.  Units receiving such assistance shall use the utility allowances prepared by the local or state housing authority.</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spacing w:line="228" w:lineRule="auto"/>
        <w:ind w:left="720" w:hanging="720"/>
        <w:jc w:val="both"/>
      </w:pPr>
      <w:r>
        <w:tab/>
        <w:t>For information about the utility allowances for HUD regulated buildings, contact the HUD Office of Housing, Office of the Deputy Assistant Secretary for Multifamily Housing Programs at (202) 708-2495.</w:t>
      </w:r>
    </w:p>
    <w:p w:rsidR="00A364C9" w:rsidRDefault="00A364C9" w:rsidP="00A364C9">
      <w:pPr>
        <w:tabs>
          <w:tab w:val="left" w:pos="-720"/>
        </w:tabs>
        <w:suppressAutoHyphens/>
        <w:spacing w:line="228" w:lineRule="auto"/>
        <w:jc w:val="both"/>
      </w:pPr>
    </w:p>
    <w:p w:rsidR="00A364C9" w:rsidRDefault="00A364C9" w:rsidP="000F456A">
      <w:pPr>
        <w:pStyle w:val="BodyTextIndent"/>
        <w:ind w:left="720"/>
      </w:pPr>
      <w:r>
        <w:t xml:space="preserve">The Vermont State Housing Authority (VSHA) revises their utility allowances once per year, in November.    A copy of the most current VSHA utility allowance figures is attached in Appendix F. For additional information, contact Holly </w:t>
      </w:r>
      <w:proofErr w:type="spellStart"/>
      <w:r>
        <w:t>Fancher</w:t>
      </w:r>
      <w:proofErr w:type="spellEnd"/>
      <w:r>
        <w:t xml:space="preserve"> at</w:t>
      </w:r>
      <w:r w:rsidR="000F456A">
        <w:t xml:space="preserve"> </w:t>
      </w:r>
      <w:r>
        <w:t>(802) 828-3020.</w:t>
      </w:r>
    </w:p>
    <w:p w:rsidR="00A364C9" w:rsidRDefault="00A364C9" w:rsidP="00A364C9">
      <w:pPr>
        <w:tabs>
          <w:tab w:val="left" w:pos="-720"/>
        </w:tabs>
        <w:suppressAutoHyphens/>
        <w:spacing w:line="228" w:lineRule="auto"/>
      </w:pPr>
    </w:p>
    <w:p w:rsidR="00A364C9" w:rsidRDefault="00A364C9" w:rsidP="005A7968">
      <w:pPr>
        <w:pStyle w:val="BodyTextIndent"/>
        <w:ind w:left="720"/>
      </w:pPr>
      <w:r>
        <w:t>The Burlington, Winooski, Hartford, and Springfield Housing Authorities are the only local Public Housing Authorities known to VHFA which publish their own utility allowance figures.  The Burlington Housing Authority publishes their utility allowances once a year in June. A copy of the most current Burlington Electric Department utility allowances is attached in Appendix F.  For additional information about Burlington utility allowances, contact Claudia Donovan at (802) 864-4650 extension 207.</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spacing w:line="228" w:lineRule="auto"/>
        <w:ind w:left="720" w:hanging="720"/>
        <w:jc w:val="both"/>
      </w:pPr>
      <w:r>
        <w:tab/>
        <w:t>RD utility allowances are set on a project-by-project basis.  Additional information can be secured from Sandra Mercier of Rural Development (RD) at (802) 828-6028.</w:t>
      </w:r>
    </w:p>
    <w:p w:rsidR="00A364C9" w:rsidRDefault="00A364C9" w:rsidP="00A364C9">
      <w:pPr>
        <w:tabs>
          <w:tab w:val="left" w:pos="-720"/>
        </w:tabs>
        <w:suppressAutoHyphens/>
        <w:spacing w:line="228" w:lineRule="auto"/>
        <w:jc w:val="both"/>
      </w:pPr>
    </w:p>
    <w:p w:rsidR="00A364C9" w:rsidRDefault="00A364C9" w:rsidP="00A364C9">
      <w:pPr>
        <w:tabs>
          <w:tab w:val="left" w:pos="-720"/>
        </w:tabs>
        <w:suppressAutoHyphens/>
        <w:spacing w:line="228" w:lineRule="auto"/>
        <w:jc w:val="both"/>
      </w:pPr>
      <w:r>
        <w:lastRenderedPageBreak/>
        <w:fldChar w:fldCharType="begin"/>
      </w:r>
      <w:r>
        <w:instrText xml:space="preserve">PRIVATE </w:instrText>
      </w:r>
      <w:r>
        <w:fldChar w:fldCharType="end"/>
      </w:r>
      <w:r>
        <w:t>K.</w:t>
      </w:r>
      <w:r>
        <w:tab/>
      </w:r>
      <w:r>
        <w:rPr>
          <w:b/>
          <w:u w:val="single"/>
        </w:rPr>
        <w:t>IRS Reporting Requirements</w:t>
      </w:r>
      <w:r>
        <w:rPr>
          <w:b/>
          <w:u w:val="single"/>
        </w:rPr>
        <w:fldChar w:fldCharType="begin"/>
      </w:r>
      <w:r>
        <w:instrText>tc  \l 2 "K.</w:instrText>
      </w:r>
      <w:r>
        <w:tab/>
      </w:r>
      <w:r>
        <w:rPr>
          <w:b/>
          <w:u w:val="single"/>
        </w:rPr>
        <w:instrText>IRS Reporting Requirements</w:instrText>
      </w:r>
      <w:r>
        <w:instrText>"</w:instrText>
      </w:r>
      <w:r>
        <w:rPr>
          <w:b/>
          <w:u w:val="single"/>
        </w:rPr>
        <w:fldChar w:fldCharType="end"/>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spacing w:line="228" w:lineRule="auto"/>
        <w:ind w:left="720" w:hanging="720"/>
        <w:jc w:val="both"/>
      </w:pPr>
      <w:r>
        <w:tab/>
        <w:t>The taxpayer must file certifications to the Secretary of the Treasury no later than the 90th day following the close of the first taxable year in the credit period.  IRS Forms 8586 "Low-Income Housing Credit" and 8609 "Low-Income Housing Credit Allocation Certifica</w:t>
      </w:r>
      <w:r>
        <w:softHyphen/>
        <w:t xml:space="preserve">tion" (including Schedule A) are the forms to be used for reporting purposes.  VHFA will send a completed </w:t>
      </w:r>
      <w:r>
        <w:rPr>
          <w:u w:val="single"/>
        </w:rPr>
        <w:t>copy</w:t>
      </w:r>
      <w:r>
        <w:t xml:space="preserve"> of Form 8609 to the taxpayer after the building is Placed in Service, all eligible costs have been certified by the owner (see Section Q), and a HC Housing Subsidy Covenant has been signed.  The original signed Form 8609 is sent directly by VHFA to the IRS.  It is the taxpayer's responsibility to obtain and file all the relevant IRS Forms and to seek appropriate accounting and tax advice for reporting and programmatic compliance.</w:t>
      </w:r>
    </w:p>
    <w:p w:rsidR="00124D50" w:rsidRDefault="00124D50" w:rsidP="00A364C9">
      <w:pPr>
        <w:tabs>
          <w:tab w:val="left" w:pos="-720"/>
          <w:tab w:val="left" w:pos="0"/>
        </w:tabs>
        <w:suppressAutoHyphens/>
        <w:spacing w:line="228" w:lineRule="auto"/>
        <w:ind w:left="720" w:hanging="720"/>
      </w:pPr>
    </w:p>
    <w:p w:rsidR="00A364C9" w:rsidRDefault="00A364C9" w:rsidP="00A364C9">
      <w:pPr>
        <w:tabs>
          <w:tab w:val="left" w:pos="-720"/>
          <w:tab w:val="left" w:pos="0"/>
        </w:tabs>
        <w:suppressAutoHyphens/>
        <w:spacing w:line="228" w:lineRule="auto"/>
        <w:ind w:left="720" w:hanging="720"/>
      </w:pPr>
      <w:r>
        <w:fldChar w:fldCharType="begin"/>
      </w:r>
      <w:r>
        <w:instrText xml:space="preserve">PRIVATE </w:instrText>
      </w:r>
      <w:r>
        <w:fldChar w:fldCharType="end"/>
      </w:r>
      <w:r>
        <w:t>L.</w:t>
      </w:r>
      <w:r>
        <w:tab/>
      </w:r>
      <w:r>
        <w:rPr>
          <w:b/>
          <w:u w:val="single"/>
        </w:rPr>
        <w:t>Compliance Monitoring</w:t>
      </w:r>
      <w:r>
        <w:rPr>
          <w:b/>
          <w:u w:val="single"/>
        </w:rPr>
        <w:fldChar w:fldCharType="begin"/>
      </w:r>
      <w:r>
        <w:instrText>tc  \l 2 "L.</w:instrText>
      </w:r>
      <w:r>
        <w:tab/>
      </w:r>
      <w:r>
        <w:rPr>
          <w:b/>
          <w:u w:val="single"/>
        </w:rPr>
        <w:instrText>Compliance Monitoring</w:instrText>
      </w:r>
      <w:r>
        <w:instrText>"</w:instrText>
      </w:r>
      <w:r>
        <w:rPr>
          <w:b/>
          <w:u w:val="single"/>
        </w:rPr>
        <w:fldChar w:fldCharType="end"/>
      </w:r>
    </w:p>
    <w:p w:rsidR="00A364C9" w:rsidRDefault="00A364C9" w:rsidP="00A364C9">
      <w:pPr>
        <w:tabs>
          <w:tab w:val="left" w:pos="-720"/>
        </w:tabs>
        <w:suppressAutoHyphens/>
        <w:spacing w:line="228" w:lineRule="auto"/>
        <w:ind w:right="-144"/>
        <w:jc w:val="both"/>
      </w:pPr>
    </w:p>
    <w:p w:rsidR="00A364C9" w:rsidRDefault="00A364C9" w:rsidP="00A364C9">
      <w:pPr>
        <w:tabs>
          <w:tab w:val="left" w:pos="-720"/>
          <w:tab w:val="left" w:pos="0"/>
        </w:tabs>
        <w:suppressAutoHyphens/>
        <w:spacing w:line="228" w:lineRule="auto"/>
        <w:ind w:left="720" w:right="-144" w:hanging="720"/>
        <w:jc w:val="both"/>
      </w:pPr>
      <w:r>
        <w:tab/>
        <w:t>VHFA is now required by law to perform program compliance monitoring on all developments that have received the benefit of Housing Credits.  IRS regulations mandate that compliance monitoring procedures be set forth in the State Allocation Plan</w:t>
      </w:r>
      <w:r w:rsidR="006E3484">
        <w:t xml:space="preserve">. </w:t>
      </w:r>
      <w:r>
        <w:t>A compliance monitoring fee should be incorporated into the operating budget.</w:t>
      </w:r>
      <w:r w:rsidR="006E3484">
        <w:t xml:space="preserve"> More information can be found on our website.</w:t>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spacing w:line="228" w:lineRule="auto"/>
        <w:ind w:left="720" w:hanging="720"/>
        <w:jc w:val="both"/>
      </w:pPr>
      <w:r>
        <w:fldChar w:fldCharType="begin"/>
      </w:r>
      <w:r>
        <w:instrText xml:space="preserve">PRIVATE </w:instrText>
      </w:r>
      <w:r>
        <w:fldChar w:fldCharType="end"/>
      </w:r>
      <w:r>
        <w:t>M.</w:t>
      </w:r>
      <w:r>
        <w:tab/>
      </w:r>
      <w:r>
        <w:rPr>
          <w:b/>
          <w:u w:val="single"/>
        </w:rPr>
        <w:t>Application Process and Fees</w:t>
      </w:r>
      <w:r>
        <w:rPr>
          <w:b/>
          <w:u w:val="single"/>
        </w:rPr>
        <w:fldChar w:fldCharType="begin"/>
      </w:r>
      <w:r>
        <w:instrText>tc  \l 2 "M.</w:instrText>
      </w:r>
      <w:r>
        <w:tab/>
      </w:r>
      <w:r>
        <w:rPr>
          <w:b/>
          <w:u w:val="single"/>
        </w:rPr>
        <w:instrText>Application Process and Fees</w:instrText>
      </w:r>
      <w:r>
        <w:instrText>"</w:instrText>
      </w:r>
      <w:r>
        <w:rPr>
          <w:b/>
          <w:u w:val="single"/>
        </w:rPr>
        <w:fldChar w:fldCharType="end"/>
      </w:r>
    </w:p>
    <w:p w:rsidR="00A364C9" w:rsidRDefault="00A364C9" w:rsidP="00A364C9">
      <w:pPr>
        <w:tabs>
          <w:tab w:val="left" w:pos="-720"/>
        </w:tabs>
        <w:suppressAutoHyphens/>
        <w:spacing w:line="228" w:lineRule="auto"/>
        <w:jc w:val="both"/>
      </w:pPr>
    </w:p>
    <w:p w:rsidR="00A364C9" w:rsidRDefault="00A364C9" w:rsidP="00A364C9">
      <w:pPr>
        <w:tabs>
          <w:tab w:val="left" w:pos="-720"/>
          <w:tab w:val="left" w:pos="0"/>
        </w:tabs>
        <w:suppressAutoHyphens/>
        <w:ind w:left="720" w:hanging="720"/>
        <w:jc w:val="both"/>
      </w:pPr>
      <w:r>
        <w:tab/>
        <w:t xml:space="preserve">The Allocation Plan includes a description of the Application Process.  Before an application for ceiling credit is submitted, a pre-application meeting between VHFA staff and the developer is held.  The purpose of the meeting is to discuss: the project concept; how compatible the project is with the evaluation criteria in the Plan; assumptions about other funding sources; the compatibility of the use with the proposed site. </w:t>
      </w:r>
    </w:p>
    <w:p w:rsidR="00A364C9" w:rsidRDefault="00A364C9" w:rsidP="00A364C9">
      <w:pPr>
        <w:tabs>
          <w:tab w:val="left" w:pos="-720"/>
          <w:tab w:val="left" w:pos="0"/>
        </w:tabs>
        <w:suppressAutoHyphens/>
        <w:ind w:left="720" w:hanging="720"/>
        <w:jc w:val="both"/>
      </w:pPr>
    </w:p>
    <w:p w:rsidR="00A364C9" w:rsidRDefault="00A364C9" w:rsidP="00A364C9">
      <w:pPr>
        <w:tabs>
          <w:tab w:val="left" w:pos="-720"/>
          <w:tab w:val="left" w:pos="0"/>
        </w:tabs>
        <w:suppressAutoHyphens/>
        <w:ind w:left="720" w:hanging="720"/>
        <w:jc w:val="both"/>
      </w:pPr>
      <w:r>
        <w:tab/>
        <w:t xml:space="preserve">Once the initial meeting has taken place, site control has been obtained, and the developer has met with other funding agency staff, the Application can be submitted. The following must be submitted with the application: </w:t>
      </w:r>
    </w:p>
    <w:p w:rsidR="00A364C9" w:rsidRDefault="00A364C9" w:rsidP="00A364C9">
      <w:pPr>
        <w:numPr>
          <w:ilvl w:val="0"/>
          <w:numId w:val="15"/>
        </w:numPr>
        <w:tabs>
          <w:tab w:val="left" w:pos="-720"/>
          <w:tab w:val="left" w:pos="0"/>
        </w:tabs>
        <w:suppressAutoHyphens/>
        <w:jc w:val="both"/>
      </w:pPr>
      <w:r>
        <w:t>Purchase &amp; Sales Agreement, Option, Deed or other form of Site Control;</w:t>
      </w:r>
    </w:p>
    <w:p w:rsidR="00A364C9" w:rsidRDefault="00A364C9" w:rsidP="00A364C9">
      <w:pPr>
        <w:numPr>
          <w:ilvl w:val="0"/>
          <w:numId w:val="15"/>
        </w:numPr>
        <w:tabs>
          <w:tab w:val="left" w:pos="-720"/>
          <w:tab w:val="left" w:pos="0"/>
        </w:tabs>
        <w:suppressAutoHyphens/>
        <w:jc w:val="both"/>
      </w:pPr>
      <w:r>
        <w:t>Elevation drawings or computer-generated image of buildings on site, and Site Plan (if project includes new construction) and photographs of building (for rehabs);</w:t>
      </w:r>
    </w:p>
    <w:p w:rsidR="00A364C9" w:rsidRDefault="00A364C9" w:rsidP="00A364C9">
      <w:pPr>
        <w:numPr>
          <w:ilvl w:val="0"/>
          <w:numId w:val="15"/>
        </w:numPr>
        <w:tabs>
          <w:tab w:val="left" w:pos="-720"/>
          <w:tab w:val="left" w:pos="0"/>
        </w:tabs>
        <w:suppressAutoHyphens/>
        <w:jc w:val="both"/>
      </w:pPr>
      <w:r>
        <w:t>Evidence of meeting with town zoning administrator (for new construction, adaptive re-use, and rehab projects which add units);</w:t>
      </w:r>
    </w:p>
    <w:p w:rsidR="00A364C9" w:rsidRDefault="00A364C9" w:rsidP="00A364C9">
      <w:pPr>
        <w:numPr>
          <w:ilvl w:val="0"/>
          <w:numId w:val="15"/>
        </w:numPr>
        <w:tabs>
          <w:tab w:val="left" w:pos="-720"/>
          <w:tab w:val="left" w:pos="0"/>
        </w:tabs>
        <w:suppressAutoHyphens/>
        <w:jc w:val="both"/>
      </w:pPr>
      <w:r>
        <w:t>Market Study;</w:t>
      </w:r>
    </w:p>
    <w:p w:rsidR="00A364C9" w:rsidRDefault="00A364C9" w:rsidP="00A364C9">
      <w:pPr>
        <w:numPr>
          <w:ilvl w:val="0"/>
          <w:numId w:val="15"/>
        </w:numPr>
        <w:tabs>
          <w:tab w:val="left" w:pos="-720"/>
          <w:tab w:val="left" w:pos="0"/>
        </w:tabs>
        <w:suppressAutoHyphens/>
        <w:jc w:val="both"/>
      </w:pPr>
      <w:r>
        <w:t>Capital Needs Assessment (for any rehab project that is not a gut-rehab.  For new construction projects and gut-rehab projects, the CNA can be submitted at completion);</w:t>
      </w:r>
    </w:p>
    <w:p w:rsidR="00A364C9" w:rsidRDefault="00A364C9" w:rsidP="00A364C9">
      <w:pPr>
        <w:numPr>
          <w:ilvl w:val="0"/>
          <w:numId w:val="15"/>
        </w:numPr>
        <w:tabs>
          <w:tab w:val="left" w:pos="-720"/>
          <w:tab w:val="left" w:pos="0"/>
        </w:tabs>
        <w:suppressAutoHyphens/>
        <w:jc w:val="both"/>
      </w:pPr>
      <w:r>
        <w:t>Other documentation (See Submission Timing Chart for detail);</w:t>
      </w:r>
    </w:p>
    <w:p w:rsidR="00A364C9" w:rsidRDefault="00A364C9" w:rsidP="00A364C9">
      <w:pPr>
        <w:numPr>
          <w:ilvl w:val="0"/>
          <w:numId w:val="15"/>
        </w:numPr>
        <w:tabs>
          <w:tab w:val="left" w:pos="-720"/>
          <w:tab w:val="left" w:pos="0"/>
        </w:tabs>
        <w:suppressAutoHyphens/>
        <w:jc w:val="both"/>
      </w:pPr>
      <w:r>
        <w:t>Application Fee (see detail below).</w:t>
      </w:r>
      <w:r>
        <w:tab/>
      </w:r>
    </w:p>
    <w:p w:rsidR="00A364C9" w:rsidRDefault="00A364C9" w:rsidP="00A364C9">
      <w:pPr>
        <w:tabs>
          <w:tab w:val="left" w:pos="-720"/>
          <w:tab w:val="left" w:pos="0"/>
        </w:tabs>
        <w:suppressAutoHyphens/>
        <w:ind w:left="720" w:hanging="720"/>
        <w:jc w:val="both"/>
      </w:pPr>
      <w:r>
        <w:tab/>
      </w:r>
    </w:p>
    <w:p w:rsidR="00A364C9" w:rsidRDefault="00A364C9" w:rsidP="00A364C9">
      <w:pPr>
        <w:tabs>
          <w:tab w:val="left" w:pos="-720"/>
          <w:tab w:val="left" w:pos="0"/>
        </w:tabs>
        <w:suppressAutoHyphens/>
        <w:spacing w:line="228" w:lineRule="auto"/>
        <w:ind w:left="720" w:hanging="720"/>
        <w:jc w:val="both"/>
      </w:pPr>
      <w:r>
        <w:tab/>
        <w:t>An Application for Reservation of the Housing Credits is made to VHFA, using the Project and Sponsor Information, the attached HC Submittal Letter along with completed HC Worksheet.</w:t>
      </w:r>
      <w:r>
        <w:cr/>
      </w:r>
      <w:r>
        <w:cr/>
        <w:t xml:space="preserve">Each HC application must include a non-refundable application fee of $250 (due upon submission of the completed application).  An additional reservation fee of 4% of the annual credit will be due upon issuance of the Reservation Certificate.  The reservation </w:t>
      </w:r>
      <w:r>
        <w:lastRenderedPageBreak/>
        <w:t xml:space="preserve">fee will be refundable until the project receives either a Carryover Allocation or Final Allocation, whichever is earliest.  These amounts do </w:t>
      </w:r>
      <w:r>
        <w:rPr>
          <w:u w:val="single"/>
        </w:rPr>
        <w:t>not</w:t>
      </w:r>
      <w:r>
        <w:t xml:space="preserve"> include the fees discussed under Section L - Compliance Monitoring.</w:t>
      </w:r>
    </w:p>
    <w:p w:rsidR="00A364C9" w:rsidRDefault="00A364C9" w:rsidP="00A364C9">
      <w:pPr>
        <w:tabs>
          <w:tab w:val="left" w:pos="-720"/>
          <w:tab w:val="left" w:pos="0"/>
        </w:tabs>
        <w:suppressAutoHyphens/>
        <w:spacing w:line="228" w:lineRule="auto"/>
        <w:ind w:left="720" w:hanging="720"/>
        <w:jc w:val="both"/>
      </w:pPr>
    </w:p>
    <w:p w:rsidR="00A364C9" w:rsidRDefault="00A364C9" w:rsidP="00A364C9">
      <w:pPr>
        <w:tabs>
          <w:tab w:val="left" w:pos="-720"/>
          <w:tab w:val="left" w:pos="0"/>
        </w:tabs>
        <w:suppressAutoHyphens/>
        <w:spacing w:line="228" w:lineRule="auto"/>
        <w:ind w:left="720" w:hanging="720"/>
        <w:jc w:val="both"/>
      </w:pPr>
      <w:r>
        <w:t xml:space="preserve"> </w:t>
      </w:r>
      <w:r>
        <w:fldChar w:fldCharType="begin"/>
      </w:r>
      <w:r>
        <w:instrText xml:space="preserve">PRIVATE </w:instrText>
      </w:r>
      <w:r>
        <w:fldChar w:fldCharType="end"/>
      </w:r>
      <w:r>
        <w:t>N.</w:t>
      </w:r>
      <w:r>
        <w:tab/>
      </w:r>
      <w:r>
        <w:rPr>
          <w:b/>
          <w:u w:val="single"/>
        </w:rPr>
        <w:t>Vermont Policy Priorities</w:t>
      </w:r>
      <w:r>
        <w:rPr>
          <w:b/>
          <w:u w:val="single"/>
        </w:rPr>
        <w:fldChar w:fldCharType="begin"/>
      </w:r>
      <w:r>
        <w:instrText>tc  \l 2 "N.</w:instrText>
      </w:r>
      <w:r>
        <w:tab/>
      </w:r>
      <w:r>
        <w:rPr>
          <w:b/>
          <w:u w:val="single"/>
        </w:rPr>
        <w:instrText>Vermont Policy Priorities</w:instrText>
      </w:r>
      <w:r>
        <w:instrText>"</w:instrText>
      </w:r>
      <w:r>
        <w:rPr>
          <w:b/>
          <w:u w:val="single"/>
        </w:rPr>
        <w:fldChar w:fldCharType="end"/>
      </w:r>
      <w:r>
        <w:cr/>
      </w:r>
      <w:r>
        <w:cr/>
        <w:t>See the attached Allocation Plan for a listing of Vermont's Policy Priorities.</w:t>
      </w:r>
    </w:p>
    <w:p w:rsidR="00A364C9" w:rsidRDefault="00A364C9" w:rsidP="00A364C9">
      <w:pPr>
        <w:tabs>
          <w:tab w:val="left" w:pos="-720"/>
          <w:tab w:val="left" w:pos="0"/>
        </w:tabs>
        <w:suppressAutoHyphens/>
        <w:spacing w:line="228" w:lineRule="auto"/>
        <w:ind w:left="720" w:hanging="720"/>
        <w:jc w:val="both"/>
      </w:pPr>
    </w:p>
    <w:p w:rsidR="00A364C9" w:rsidRDefault="00A364C9" w:rsidP="00A364C9">
      <w:pPr>
        <w:tabs>
          <w:tab w:val="left" w:pos="-720"/>
          <w:tab w:val="left" w:pos="0"/>
        </w:tabs>
        <w:suppressAutoHyphens/>
        <w:spacing w:line="228" w:lineRule="auto"/>
        <w:ind w:left="720" w:hanging="720"/>
        <w:jc w:val="both"/>
      </w:pPr>
      <w:r>
        <w:t xml:space="preserve"> </w:t>
      </w:r>
      <w:r>
        <w:fldChar w:fldCharType="begin"/>
      </w:r>
      <w:r>
        <w:instrText xml:space="preserve">PRIVATE </w:instrText>
      </w:r>
      <w:r>
        <w:fldChar w:fldCharType="end"/>
      </w:r>
      <w:r>
        <w:t>O.</w:t>
      </w:r>
      <w:r>
        <w:tab/>
      </w:r>
      <w:r>
        <w:rPr>
          <w:b/>
          <w:u w:val="single"/>
        </w:rPr>
        <w:t>Carryover Allocations</w:t>
      </w:r>
      <w:r>
        <w:rPr>
          <w:b/>
          <w:u w:val="single"/>
        </w:rPr>
        <w:fldChar w:fldCharType="begin"/>
      </w:r>
      <w:r>
        <w:instrText>tc  \l 2 "O.</w:instrText>
      </w:r>
      <w:r>
        <w:tab/>
      </w:r>
      <w:r>
        <w:rPr>
          <w:b/>
          <w:u w:val="single"/>
        </w:rPr>
        <w:instrText>Carryover Allocations</w:instrText>
      </w:r>
      <w:r>
        <w:instrText>"</w:instrText>
      </w:r>
      <w:r>
        <w:rPr>
          <w:b/>
          <w:u w:val="single"/>
        </w:rPr>
        <w:fldChar w:fldCharType="end"/>
      </w:r>
      <w:r>
        <w:cr/>
      </w:r>
      <w:r>
        <w:cr/>
        <w:t>If a project will not be completed (i.e. Placed in S</w:t>
      </w:r>
      <w:r w:rsidR="006E3484">
        <w:t>ervice) before December 31</w:t>
      </w:r>
      <w:r>
        <w:t>,</w:t>
      </w:r>
      <w:r w:rsidR="006E3484">
        <w:t xml:space="preserve"> of its credit year,</w:t>
      </w:r>
      <w:r>
        <w:t xml:space="preserve"> VHFA has the authority to grant a Carryover Allocation.  The applicant must have spent at least 10% of the owner's ultimate "reasonably expected basis" (depreciable real basis plus lan</w:t>
      </w:r>
      <w:r w:rsidR="006E3484">
        <w:t xml:space="preserve">d) in the project by the end December </w:t>
      </w:r>
      <w:r>
        <w:t>and have a real ownership interest in the land and/or buildings.  If a project receives a carryover allocation based on an award of credits that occurred in the second half of the c</w:t>
      </w:r>
      <w:r w:rsidR="006E3484">
        <w:t>alendar year (i.e. after July 1</w:t>
      </w:r>
      <w:r>
        <w:t xml:space="preserve">), the Sponsor has 6 months from the date of the carryover allocation to incur the 10% costs and document this to VHFA.  A VHFA-approved cost certification will be required prior to the issuance of a Carryover Allocation.  The project must be </w:t>
      </w:r>
      <w:proofErr w:type="gramStart"/>
      <w:r>
        <w:t>Placed</w:t>
      </w:r>
      <w:proofErr w:type="gramEnd"/>
      <w:r>
        <w:t xml:space="preserve"> in Service </w:t>
      </w:r>
      <w:r w:rsidR="006E3484">
        <w:t>within two years after allocation</w:t>
      </w:r>
      <w:r>
        <w:t xml:space="preserve"> at the latest.</w:t>
      </w:r>
    </w:p>
    <w:p w:rsidR="00A364C9" w:rsidRDefault="00A364C9" w:rsidP="00A364C9">
      <w:pPr>
        <w:tabs>
          <w:tab w:val="left" w:pos="-720"/>
          <w:tab w:val="left" w:pos="0"/>
        </w:tabs>
        <w:suppressAutoHyphens/>
        <w:spacing w:line="228" w:lineRule="auto"/>
        <w:ind w:left="720" w:hanging="720"/>
        <w:jc w:val="both"/>
      </w:pPr>
    </w:p>
    <w:p w:rsidR="00A364C9" w:rsidRDefault="00A364C9" w:rsidP="00A364C9">
      <w:pPr>
        <w:tabs>
          <w:tab w:val="left" w:pos="-720"/>
          <w:tab w:val="left" w:pos="0"/>
        </w:tabs>
        <w:suppressAutoHyphens/>
        <w:spacing w:line="228" w:lineRule="auto"/>
        <w:ind w:left="720" w:hanging="720"/>
        <w:jc w:val="both"/>
      </w:pPr>
      <w:r>
        <w:fldChar w:fldCharType="begin"/>
      </w:r>
      <w:r>
        <w:instrText xml:space="preserve">PRIVATE </w:instrText>
      </w:r>
      <w:r>
        <w:fldChar w:fldCharType="end"/>
      </w:r>
      <w:r>
        <w:t>P.</w:t>
      </w:r>
      <w:r>
        <w:tab/>
      </w:r>
      <w:r>
        <w:rPr>
          <w:b/>
          <w:u w:val="single"/>
        </w:rPr>
        <w:t>Binding Rate Election</w:t>
      </w:r>
      <w:r>
        <w:rPr>
          <w:b/>
          <w:u w:val="single"/>
        </w:rPr>
        <w:fldChar w:fldCharType="begin"/>
      </w:r>
      <w:r>
        <w:instrText>tc  \l 2 “P.</w:instrText>
      </w:r>
      <w:r>
        <w:tab/>
      </w:r>
      <w:r>
        <w:rPr>
          <w:b/>
          <w:u w:val="single"/>
        </w:rPr>
        <w:instrText>Binding Rate Election</w:instrText>
      </w:r>
      <w:r>
        <w:instrText>”</w:instrText>
      </w:r>
      <w:r>
        <w:rPr>
          <w:b/>
          <w:u w:val="single"/>
        </w:rPr>
        <w:fldChar w:fldCharType="end"/>
      </w:r>
      <w:r>
        <w:cr/>
      </w:r>
      <w:r>
        <w:cr/>
        <w:t xml:space="preserve">Federal regulations permit the applicant to elect the credit percentage rate in effect any time the Agency and the owner enter into a binding agreement pursuant to IRS Regulation 1.42-8.  If no election to bind the Housing Credit percentage rate is made, the credit percentage that is applied is that rate in effect at the time the project is </w:t>
      </w:r>
      <w:proofErr w:type="gramStart"/>
      <w:r>
        <w:t>Placed</w:t>
      </w:r>
      <w:proofErr w:type="gramEnd"/>
      <w:r>
        <w:t xml:space="preserve"> in Service.</w:t>
      </w:r>
    </w:p>
    <w:p w:rsidR="00A364C9" w:rsidRDefault="00A364C9" w:rsidP="00A364C9">
      <w:pPr>
        <w:tabs>
          <w:tab w:val="left" w:pos="-720"/>
          <w:tab w:val="left" w:pos="0"/>
        </w:tabs>
        <w:suppressAutoHyphens/>
        <w:spacing w:line="228" w:lineRule="auto"/>
        <w:ind w:left="720" w:hanging="720"/>
        <w:jc w:val="both"/>
      </w:pPr>
    </w:p>
    <w:p w:rsidR="00A364C9" w:rsidRDefault="00A364C9" w:rsidP="00A364C9">
      <w:pPr>
        <w:tabs>
          <w:tab w:val="left" w:pos="-720"/>
          <w:tab w:val="left" w:pos="0"/>
        </w:tabs>
        <w:suppressAutoHyphens/>
        <w:spacing w:line="228" w:lineRule="auto"/>
        <w:ind w:left="720" w:hanging="720"/>
        <w:jc w:val="both"/>
      </w:pPr>
      <w:r>
        <w:fldChar w:fldCharType="begin"/>
      </w:r>
      <w:r>
        <w:instrText xml:space="preserve">PRIVATE </w:instrText>
      </w:r>
      <w:r>
        <w:fldChar w:fldCharType="end"/>
      </w:r>
      <w:r>
        <w:t>Q.</w:t>
      </w:r>
      <w:r>
        <w:tab/>
      </w:r>
      <w:r>
        <w:rPr>
          <w:b/>
          <w:u w:val="single"/>
        </w:rPr>
        <w:t>IRS Final Form 8609 and Final Cost Certification</w:t>
      </w:r>
      <w:r>
        <w:rPr>
          <w:b/>
          <w:u w:val="single"/>
        </w:rPr>
        <w:fldChar w:fldCharType="begin"/>
      </w:r>
      <w:r>
        <w:instrText>tc  \l 2 “Q.</w:instrText>
      </w:r>
      <w:r>
        <w:tab/>
      </w:r>
      <w:r>
        <w:rPr>
          <w:b/>
          <w:u w:val="single"/>
        </w:rPr>
        <w:instrText>IRS Final Form 8609 and Final Cost</w:instrText>
      </w:r>
      <w:bookmarkStart w:id="1" w:name="COSTCERT"/>
      <w:bookmarkEnd w:id="1"/>
      <w:r>
        <w:rPr>
          <w:b/>
          <w:u w:val="single"/>
        </w:rPr>
        <w:instrText xml:space="preserve"> Certification</w:instrText>
      </w:r>
      <w:r>
        <w:instrText>”</w:instrText>
      </w:r>
      <w:r>
        <w:rPr>
          <w:b/>
          <w:u w:val="single"/>
        </w:rPr>
        <w:fldChar w:fldCharType="end"/>
      </w:r>
      <w:r>
        <w:cr/>
      </w:r>
      <w:r>
        <w:cr/>
        <w:t>VHFA requires final cost certifications for all projects prior to issuance of IRS Form(s) 8609 which should be prepared based on the following guidelines:</w:t>
      </w:r>
      <w:r>
        <w:cr/>
      </w:r>
      <w:r>
        <w:cr/>
        <w:t>For projects of fewer than 10 units, final cost certifications prepared by the owner will be accepted.</w:t>
      </w:r>
    </w:p>
    <w:p w:rsidR="00A364C9" w:rsidRDefault="00A364C9" w:rsidP="00A364C9">
      <w:pPr>
        <w:tabs>
          <w:tab w:val="left" w:pos="-720"/>
        </w:tabs>
        <w:suppressAutoHyphens/>
        <w:spacing w:line="228" w:lineRule="auto"/>
        <w:jc w:val="both"/>
      </w:pPr>
    </w:p>
    <w:p w:rsidR="00C46667" w:rsidRPr="000A1E71" w:rsidRDefault="00A364C9" w:rsidP="000A1E71">
      <w:pPr>
        <w:pStyle w:val="BodyTextIndent2"/>
        <w:ind w:left="720" w:firstLine="0"/>
      </w:pPr>
      <w:r>
        <w:t>For projects of 10 units or more, an independent CPA must prepare the final cost certification.  If this is not possible prior to the end of the calendar year in which the last building is Placed in Service, VHFA will issue the IRS Form 8609 on the basis of an owner’s final cost certification and supporting documentation, but requires the CPA cost certification to be submitted as soon thereafter as possible.</w:t>
      </w:r>
      <w:bookmarkStart w:id="2" w:name="_GoBack"/>
      <w:bookmarkEnd w:id="2"/>
    </w:p>
    <w:sectPr w:rsidR="00C46667" w:rsidRPr="000A1E71" w:rsidSect="000A1E71">
      <w:headerReference w:type="default" r:id="rId9"/>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A2" w:rsidRDefault="009712A2">
      <w:r>
        <w:separator/>
      </w:r>
    </w:p>
    <w:p w:rsidR="009712A2" w:rsidRDefault="009712A2"/>
  </w:endnote>
  <w:endnote w:type="continuationSeparator" w:id="0">
    <w:p w:rsidR="009712A2" w:rsidRDefault="009712A2">
      <w:r>
        <w:continuationSeparator/>
      </w:r>
    </w:p>
    <w:p w:rsidR="009712A2" w:rsidRDefault="00971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msRmn 12pt">
    <w:altName w:val="Times New Roman"/>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8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A2" w:rsidRDefault="009712A2">
      <w:r>
        <w:separator/>
      </w:r>
    </w:p>
    <w:p w:rsidR="009712A2" w:rsidRDefault="009712A2"/>
  </w:footnote>
  <w:footnote w:type="continuationSeparator" w:id="0">
    <w:p w:rsidR="009712A2" w:rsidRDefault="009712A2">
      <w:r>
        <w:continuationSeparator/>
      </w:r>
    </w:p>
    <w:p w:rsidR="009712A2" w:rsidRDefault="009712A2"/>
  </w:footnote>
  <w:footnote w:id="1">
    <w:p w:rsidR="00401522" w:rsidRDefault="00401522" w:rsidP="00A364C9">
      <w:pPr>
        <w:pStyle w:val="FootnoteText"/>
        <w:tabs>
          <w:tab w:val="left" w:pos="-720"/>
          <w:tab w:val="left" w:pos="0"/>
        </w:tabs>
        <w:suppressAutoHyphens/>
        <w:spacing w:after="240"/>
        <w:ind w:left="720" w:hanging="720"/>
        <w:jc w:val="both"/>
        <w:rPr>
          <w:spacing w:val="-2"/>
          <w:sz w:val="16"/>
        </w:rPr>
      </w:pPr>
      <w:r>
        <w:rPr>
          <w:rStyle w:val="FootnoteReference"/>
          <w:rFonts w:ascii="Helv 8pt" w:hAnsi="Helv 8pt"/>
          <w:spacing w:val="-2"/>
          <w:sz w:val="16"/>
        </w:rPr>
        <w:t>   </w:t>
      </w:r>
      <w:r>
        <w:rPr>
          <w:rFonts w:ascii="Helv 8pt" w:hAnsi="Helv 8pt"/>
          <w:spacing w:val="-2"/>
          <w:sz w:val="16"/>
        </w:rPr>
        <w:t xml:space="preserve"> </w:t>
      </w:r>
      <w:r>
        <w:rPr>
          <w:rStyle w:val="FootnoteReference"/>
          <w:rFonts w:ascii="Helv 8pt" w:hAnsi="Helv 8pt"/>
          <w:spacing w:val="-2"/>
          <w:sz w:val="16"/>
        </w:rPr>
        <w:t>1</w:t>
      </w:r>
      <w:r>
        <w:rPr>
          <w:rFonts w:ascii="Helv 8pt" w:hAnsi="Helv 8pt"/>
          <w:spacing w:val="-2"/>
          <w:sz w:val="16"/>
        </w:rPr>
        <w:tab/>
      </w:r>
      <w:r>
        <w:rPr>
          <w:spacing w:val="-2"/>
          <w:sz w:val="16"/>
        </w:rPr>
        <w:t>Note that the 4% and 9% Housing Credit figures are ap</w:t>
      </w:r>
      <w:r>
        <w:rPr>
          <w:spacing w:val="-2"/>
          <w:sz w:val="16"/>
        </w:rPr>
        <w:softHyphen/>
        <w:t>proximate.  The U.S. Treasury Department is respon</w:t>
      </w:r>
      <w:r>
        <w:rPr>
          <w:spacing w:val="-2"/>
          <w:sz w:val="16"/>
        </w:rPr>
        <w:softHyphen/>
        <w:t>sible for revising the Housing Credit figures monthly based on present value calcula</w:t>
      </w:r>
      <w:r>
        <w:rPr>
          <w:spacing w:val="-2"/>
          <w:sz w:val="16"/>
        </w:rPr>
        <w:softHyphen/>
        <w:t>tions using current interest rates.  The rates are set to give the investor a credit yield equal to either 30% or 70% (depending on the type of credit requested) of the value of the qualified basis of the building, for a ten-year period.  From an investor's perspective, the net effect of the monthly changes in the Housing Credit rate should be fairly minimal.  As of March 2004, the two actual rates were 3.41%and 7.95%.  Current rates are posted on VHFA’s website under “Development”.</w:t>
      </w:r>
    </w:p>
  </w:footnote>
  <w:footnote w:id="2">
    <w:p w:rsidR="00401522" w:rsidRDefault="00401522" w:rsidP="00A364C9">
      <w:pPr>
        <w:pStyle w:val="FootnoteText"/>
        <w:tabs>
          <w:tab w:val="left" w:pos="-720"/>
          <w:tab w:val="left" w:pos="0"/>
        </w:tabs>
        <w:suppressAutoHyphens/>
        <w:spacing w:after="240"/>
        <w:ind w:left="720" w:hanging="720"/>
        <w:jc w:val="both"/>
        <w:rPr>
          <w:spacing w:val="-2"/>
          <w:sz w:val="16"/>
        </w:rPr>
      </w:pPr>
      <w:r>
        <w:rPr>
          <w:rStyle w:val="FootnoteReference"/>
          <w:spacing w:val="-2"/>
          <w:sz w:val="16"/>
        </w:rPr>
        <w:t>    2</w:t>
      </w:r>
      <w:r>
        <w:rPr>
          <w:spacing w:val="-2"/>
          <w:sz w:val="16"/>
        </w:rPr>
        <w:tab/>
        <w:t xml:space="preserve">Note that federal rental subsidies to individual renters through Section 8 certificates (or vouchers) do </w:t>
      </w:r>
      <w:r>
        <w:rPr>
          <w:spacing w:val="-2"/>
          <w:sz w:val="16"/>
          <w:u w:val="single"/>
        </w:rPr>
        <w:t>not</w:t>
      </w:r>
      <w:r>
        <w:rPr>
          <w:spacing w:val="-2"/>
          <w:sz w:val="16"/>
        </w:rPr>
        <w:t xml:space="preserve"> affect the Housing Credit eligibility of those units.  Thus, rental income from Section 8 units can exceed the HC rent limits, but the units are still considered HC rent restricted units.  In these cases, the tenant contribution towards the contract rent cannot exceed the HC rent limits.</w:t>
      </w:r>
    </w:p>
  </w:footnote>
  <w:footnote w:id="3">
    <w:p w:rsidR="00401522" w:rsidRDefault="00401522" w:rsidP="00A364C9">
      <w:pPr>
        <w:pStyle w:val="FootnoteText"/>
        <w:ind w:left="720" w:hanging="720"/>
        <w:jc w:val="both"/>
        <w:rPr>
          <w:sz w:val="16"/>
        </w:rPr>
      </w:pPr>
      <w:r>
        <w:rPr>
          <w:rStyle w:val="FootnoteReference"/>
          <w:sz w:val="16"/>
        </w:rPr>
        <w:t>4</w:t>
      </w:r>
      <w:r>
        <w:rPr>
          <w:sz w:val="16"/>
        </w:rPr>
        <w:tab/>
        <w:t>A developer may choose to submit a scattered site proposal as one application with the understanding that, for purposes of the Housing Credit Program, each building or group of contiguous buildings will receive separate allocations and will not, in that regard, be treated as separate projects.  The loss of any building, however, will mean that the entire reservation/allocation will be returned.  Alternatively, a developer may submit a separate application for each building/group of adjacent buildings.  Under this situation, the loss of a building would require only that building’s reservation/allocation be returned and the developer could proceed with the remaining buildings.</w:t>
      </w:r>
    </w:p>
  </w:footnote>
  <w:footnote w:id="4">
    <w:p w:rsidR="00401522" w:rsidRDefault="00401522" w:rsidP="00A364C9">
      <w:pPr>
        <w:pStyle w:val="FootnoteText"/>
        <w:rPr>
          <w:sz w:val="16"/>
        </w:rPr>
      </w:pPr>
      <w:r>
        <w:rPr>
          <w:rStyle w:val="FootnoteReference"/>
          <w:sz w:val="16"/>
        </w:rPr>
        <w:t>5</w:t>
      </w:r>
      <w:r>
        <w:rPr>
          <w:sz w:val="16"/>
        </w:rPr>
        <w:tab/>
        <w:t>Subtract utility allowances for those utility costs paid by the tenant.  If the landlord pays a particular cost, no utility allowance needs to be deducted.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22" w:rsidRPr="00382754" w:rsidRDefault="00401522" w:rsidP="00382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4078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23C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8239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520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38E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C4C6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628A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7CEC00BA"/>
    <w:lvl w:ilvl="0">
      <w:start w:val="1"/>
      <w:numFmt w:val="decimal"/>
      <w:pStyle w:val="ListNumber"/>
      <w:lvlText w:val="%1."/>
      <w:lvlJc w:val="left"/>
      <w:pPr>
        <w:tabs>
          <w:tab w:val="num" w:pos="360"/>
        </w:tabs>
        <w:ind w:left="360" w:hanging="360"/>
      </w:pPr>
    </w:lvl>
  </w:abstractNum>
  <w:abstractNum w:abstractNumId="8">
    <w:nsid w:val="FFFFFF89"/>
    <w:multiLevelType w:val="singleLevel"/>
    <w:tmpl w:val="D83C2BA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AD961BB"/>
    <w:multiLevelType w:val="hybridMultilevel"/>
    <w:tmpl w:val="DE54CF70"/>
    <w:lvl w:ilvl="0" w:tplc="B7A4B734">
      <w:start w:val="3"/>
      <w:numFmt w:val="decimal"/>
      <w:lvlText w:val="%1."/>
      <w:lvlJc w:val="left"/>
      <w:pPr>
        <w:tabs>
          <w:tab w:val="num" w:pos="810"/>
        </w:tabs>
        <w:ind w:left="810" w:hanging="450"/>
      </w:pPr>
      <w:rPr>
        <w:rFonts w:hint="default"/>
      </w:rPr>
    </w:lvl>
    <w:lvl w:ilvl="1" w:tplc="C988F30C" w:tentative="1">
      <w:start w:val="1"/>
      <w:numFmt w:val="lowerLetter"/>
      <w:lvlText w:val="%2."/>
      <w:lvlJc w:val="left"/>
      <w:pPr>
        <w:tabs>
          <w:tab w:val="num" w:pos="1440"/>
        </w:tabs>
        <w:ind w:left="1440" w:hanging="360"/>
      </w:pPr>
    </w:lvl>
    <w:lvl w:ilvl="2" w:tplc="DC2C470A" w:tentative="1">
      <w:start w:val="1"/>
      <w:numFmt w:val="lowerRoman"/>
      <w:lvlText w:val="%3."/>
      <w:lvlJc w:val="right"/>
      <w:pPr>
        <w:tabs>
          <w:tab w:val="num" w:pos="2160"/>
        </w:tabs>
        <w:ind w:left="2160" w:hanging="180"/>
      </w:pPr>
    </w:lvl>
    <w:lvl w:ilvl="3" w:tplc="A544C1F6" w:tentative="1">
      <w:start w:val="1"/>
      <w:numFmt w:val="decimal"/>
      <w:lvlText w:val="%4."/>
      <w:lvlJc w:val="left"/>
      <w:pPr>
        <w:tabs>
          <w:tab w:val="num" w:pos="2880"/>
        </w:tabs>
        <w:ind w:left="2880" w:hanging="360"/>
      </w:pPr>
    </w:lvl>
    <w:lvl w:ilvl="4" w:tplc="7AEE9190" w:tentative="1">
      <w:start w:val="1"/>
      <w:numFmt w:val="lowerLetter"/>
      <w:lvlText w:val="%5."/>
      <w:lvlJc w:val="left"/>
      <w:pPr>
        <w:tabs>
          <w:tab w:val="num" w:pos="3600"/>
        </w:tabs>
        <w:ind w:left="3600" w:hanging="360"/>
      </w:pPr>
    </w:lvl>
    <w:lvl w:ilvl="5" w:tplc="D868A028" w:tentative="1">
      <w:start w:val="1"/>
      <w:numFmt w:val="lowerRoman"/>
      <w:lvlText w:val="%6."/>
      <w:lvlJc w:val="right"/>
      <w:pPr>
        <w:tabs>
          <w:tab w:val="num" w:pos="4320"/>
        </w:tabs>
        <w:ind w:left="4320" w:hanging="180"/>
      </w:pPr>
    </w:lvl>
    <w:lvl w:ilvl="6" w:tplc="B8C280E2" w:tentative="1">
      <w:start w:val="1"/>
      <w:numFmt w:val="decimal"/>
      <w:lvlText w:val="%7."/>
      <w:lvlJc w:val="left"/>
      <w:pPr>
        <w:tabs>
          <w:tab w:val="num" w:pos="5040"/>
        </w:tabs>
        <w:ind w:left="5040" w:hanging="360"/>
      </w:pPr>
    </w:lvl>
    <w:lvl w:ilvl="7" w:tplc="C17E9E56" w:tentative="1">
      <w:start w:val="1"/>
      <w:numFmt w:val="lowerLetter"/>
      <w:lvlText w:val="%8."/>
      <w:lvlJc w:val="left"/>
      <w:pPr>
        <w:tabs>
          <w:tab w:val="num" w:pos="5760"/>
        </w:tabs>
        <w:ind w:left="5760" w:hanging="360"/>
      </w:pPr>
    </w:lvl>
    <w:lvl w:ilvl="8" w:tplc="C40A6E94" w:tentative="1">
      <w:start w:val="1"/>
      <w:numFmt w:val="lowerRoman"/>
      <w:lvlText w:val="%9."/>
      <w:lvlJc w:val="right"/>
      <w:pPr>
        <w:tabs>
          <w:tab w:val="num" w:pos="6480"/>
        </w:tabs>
        <w:ind w:left="6480" w:hanging="180"/>
      </w:pPr>
    </w:lvl>
  </w:abstractNum>
  <w:abstractNum w:abstractNumId="11">
    <w:nsid w:val="11A7567C"/>
    <w:multiLevelType w:val="singleLevel"/>
    <w:tmpl w:val="9340933E"/>
    <w:lvl w:ilvl="0">
      <w:start w:val="2"/>
      <w:numFmt w:val="decimal"/>
      <w:lvlText w:val="%1."/>
      <w:lvlJc w:val="left"/>
      <w:pPr>
        <w:tabs>
          <w:tab w:val="num" w:pos="1440"/>
        </w:tabs>
        <w:ind w:left="1440" w:hanging="720"/>
      </w:pPr>
      <w:rPr>
        <w:rFonts w:hint="default"/>
      </w:rPr>
    </w:lvl>
  </w:abstractNum>
  <w:abstractNum w:abstractNumId="12">
    <w:nsid w:val="127302B7"/>
    <w:multiLevelType w:val="multilevel"/>
    <w:tmpl w:val="3B5E0136"/>
    <w:lvl w:ilvl="0">
      <w:start w:val="1"/>
      <w:numFmt w:val="lowerLetter"/>
      <w:lvlText w:val="(%1)"/>
      <w:lvlJc w:val="left"/>
      <w:pPr>
        <w:tabs>
          <w:tab w:val="num" w:pos="1800"/>
        </w:tabs>
        <w:ind w:left="180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51F0D63"/>
    <w:multiLevelType w:val="hybridMultilevel"/>
    <w:tmpl w:val="42787D02"/>
    <w:lvl w:ilvl="0" w:tplc="FFFFFFFF">
      <w:start w:val="1"/>
      <w:numFmt w:val="lowerLetter"/>
      <w:lvlText w:val="(%1)"/>
      <w:lvlJc w:val="left"/>
      <w:pPr>
        <w:tabs>
          <w:tab w:val="num" w:pos="1800"/>
        </w:tabs>
        <w:ind w:left="1800" w:hanging="360"/>
      </w:pPr>
      <w:rPr>
        <w:rFonts w:ascii="Times New Roman" w:hAnsi="Times New Roman" w:hint="default"/>
        <w:b/>
        <w:i w:val="0"/>
        <w:sz w:val="24"/>
      </w:rPr>
    </w:lvl>
    <w:lvl w:ilvl="1" w:tplc="559A5718">
      <w:start w:val="6"/>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696D22"/>
    <w:multiLevelType w:val="hybridMultilevel"/>
    <w:tmpl w:val="C488254A"/>
    <w:lvl w:ilvl="0" w:tplc="20EED144">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7D503D6"/>
    <w:multiLevelType w:val="singleLevel"/>
    <w:tmpl w:val="FBBE52AC"/>
    <w:lvl w:ilvl="0">
      <w:start w:val="1"/>
      <w:numFmt w:val="decimal"/>
      <w:lvlText w:val="%1."/>
      <w:lvlJc w:val="left"/>
      <w:pPr>
        <w:tabs>
          <w:tab w:val="num" w:pos="360"/>
        </w:tabs>
        <w:ind w:left="360" w:hanging="360"/>
      </w:pPr>
      <w:rPr>
        <w:rFonts w:ascii="Times New Roman" w:hAnsi="Times New Roman" w:hint="default"/>
        <w:b w:val="0"/>
        <w:i w:val="0"/>
        <w:strike w:val="0"/>
        <w:dstrike w:val="0"/>
        <w:sz w:val="24"/>
        <w:vertAlign w:val="baseline"/>
      </w:rPr>
    </w:lvl>
  </w:abstractNum>
  <w:abstractNum w:abstractNumId="16">
    <w:nsid w:val="1FDF5523"/>
    <w:multiLevelType w:val="hybridMultilevel"/>
    <w:tmpl w:val="C068C8EA"/>
    <w:lvl w:ilvl="0" w:tplc="F9F85ED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26943AE6"/>
    <w:multiLevelType w:val="singleLevel"/>
    <w:tmpl w:val="0409000F"/>
    <w:lvl w:ilvl="0">
      <w:start w:val="1"/>
      <w:numFmt w:val="decimal"/>
      <w:lvlText w:val="%1."/>
      <w:lvlJc w:val="left"/>
      <w:pPr>
        <w:tabs>
          <w:tab w:val="num" w:pos="360"/>
        </w:tabs>
        <w:ind w:left="360" w:hanging="360"/>
      </w:pPr>
    </w:lvl>
  </w:abstractNum>
  <w:abstractNum w:abstractNumId="18">
    <w:nsid w:val="2AC44EF3"/>
    <w:multiLevelType w:val="multilevel"/>
    <w:tmpl w:val="3B5E0136"/>
    <w:lvl w:ilvl="0">
      <w:start w:val="1"/>
      <w:numFmt w:val="lowerLetter"/>
      <w:lvlText w:val="(%1)"/>
      <w:lvlJc w:val="left"/>
      <w:pPr>
        <w:tabs>
          <w:tab w:val="num" w:pos="1800"/>
        </w:tabs>
        <w:ind w:left="180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D429A5"/>
    <w:multiLevelType w:val="hybridMultilevel"/>
    <w:tmpl w:val="C92E60E2"/>
    <w:lvl w:ilvl="0" w:tplc="7AEE692A">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4331EB"/>
    <w:multiLevelType w:val="singleLevel"/>
    <w:tmpl w:val="97C26B9E"/>
    <w:lvl w:ilvl="0">
      <w:start w:val="2"/>
      <w:numFmt w:val="lowerRoman"/>
      <w:lvlText w:val="%1."/>
      <w:lvlJc w:val="left"/>
      <w:pPr>
        <w:tabs>
          <w:tab w:val="num" w:pos="1440"/>
        </w:tabs>
        <w:ind w:left="1440" w:hanging="720"/>
      </w:pPr>
      <w:rPr>
        <w:rFonts w:hint="default"/>
      </w:rPr>
    </w:lvl>
  </w:abstractNum>
  <w:abstractNum w:abstractNumId="21">
    <w:nsid w:val="3B590769"/>
    <w:multiLevelType w:val="hybridMultilevel"/>
    <w:tmpl w:val="72D0F48A"/>
    <w:lvl w:ilvl="0" w:tplc="04090001">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D3B39"/>
    <w:multiLevelType w:val="singleLevel"/>
    <w:tmpl w:val="985479DC"/>
    <w:lvl w:ilvl="0">
      <w:start w:val="1"/>
      <w:numFmt w:val="decimal"/>
      <w:lvlText w:val="(%1)"/>
      <w:lvlJc w:val="left"/>
      <w:pPr>
        <w:tabs>
          <w:tab w:val="num" w:pos="360"/>
        </w:tabs>
        <w:ind w:left="360" w:hanging="360"/>
      </w:pPr>
    </w:lvl>
  </w:abstractNum>
  <w:abstractNum w:abstractNumId="23">
    <w:nsid w:val="3E450C20"/>
    <w:multiLevelType w:val="hybridMultilevel"/>
    <w:tmpl w:val="D012E2CE"/>
    <w:lvl w:ilvl="0" w:tplc="AC54C4D4">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370F6"/>
    <w:multiLevelType w:val="hybridMultilevel"/>
    <w:tmpl w:val="399678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3220C78"/>
    <w:multiLevelType w:val="singleLevel"/>
    <w:tmpl w:val="1854BEBE"/>
    <w:lvl w:ilvl="0">
      <w:start w:val="1"/>
      <w:numFmt w:val="decimal"/>
      <w:lvlText w:val="%1."/>
      <w:lvlJc w:val="left"/>
      <w:pPr>
        <w:tabs>
          <w:tab w:val="num" w:pos="1440"/>
        </w:tabs>
        <w:ind w:left="1440" w:hanging="720"/>
      </w:pPr>
      <w:rPr>
        <w:rFonts w:hint="default"/>
      </w:rPr>
    </w:lvl>
  </w:abstractNum>
  <w:abstractNum w:abstractNumId="26">
    <w:nsid w:val="54E75C73"/>
    <w:multiLevelType w:val="hybridMultilevel"/>
    <w:tmpl w:val="7C6CBBD8"/>
    <w:lvl w:ilvl="0" w:tplc="0752252A">
      <w:start w:val="1"/>
      <w:numFmt w:val="bullet"/>
      <w:pStyle w:val="ListBullet2"/>
      <w:lvlText w:val=""/>
      <w:lvlJc w:val="left"/>
      <w:pPr>
        <w:tabs>
          <w:tab w:val="num" w:pos="1080"/>
        </w:tabs>
        <w:ind w:left="1080" w:hanging="360"/>
      </w:pPr>
      <w:rPr>
        <w:rFonts w:ascii="Wingdings" w:hAnsi="Wingdings" w:hint="default"/>
      </w:rPr>
    </w:lvl>
    <w:lvl w:ilvl="1" w:tplc="37F65D16" w:tentative="1">
      <w:start w:val="1"/>
      <w:numFmt w:val="bullet"/>
      <w:lvlText w:val="o"/>
      <w:lvlJc w:val="left"/>
      <w:pPr>
        <w:tabs>
          <w:tab w:val="num" w:pos="1800"/>
        </w:tabs>
        <w:ind w:left="1800" w:hanging="360"/>
      </w:pPr>
      <w:rPr>
        <w:rFonts w:ascii="Courier New" w:hAnsi="Courier New" w:hint="default"/>
      </w:rPr>
    </w:lvl>
    <w:lvl w:ilvl="2" w:tplc="9DB6E9F8" w:tentative="1">
      <w:start w:val="1"/>
      <w:numFmt w:val="bullet"/>
      <w:lvlText w:val=""/>
      <w:lvlJc w:val="left"/>
      <w:pPr>
        <w:tabs>
          <w:tab w:val="num" w:pos="2520"/>
        </w:tabs>
        <w:ind w:left="2520" w:hanging="360"/>
      </w:pPr>
      <w:rPr>
        <w:rFonts w:ascii="Wingdings" w:hAnsi="Wingdings" w:hint="default"/>
      </w:rPr>
    </w:lvl>
    <w:lvl w:ilvl="3" w:tplc="90E2B396" w:tentative="1">
      <w:start w:val="1"/>
      <w:numFmt w:val="bullet"/>
      <w:lvlText w:val=""/>
      <w:lvlJc w:val="left"/>
      <w:pPr>
        <w:tabs>
          <w:tab w:val="num" w:pos="3240"/>
        </w:tabs>
        <w:ind w:left="3240" w:hanging="360"/>
      </w:pPr>
      <w:rPr>
        <w:rFonts w:ascii="Symbol" w:hAnsi="Symbol" w:hint="default"/>
      </w:rPr>
    </w:lvl>
    <w:lvl w:ilvl="4" w:tplc="36AA6DC4" w:tentative="1">
      <w:start w:val="1"/>
      <w:numFmt w:val="bullet"/>
      <w:lvlText w:val="o"/>
      <w:lvlJc w:val="left"/>
      <w:pPr>
        <w:tabs>
          <w:tab w:val="num" w:pos="3960"/>
        </w:tabs>
        <w:ind w:left="3960" w:hanging="360"/>
      </w:pPr>
      <w:rPr>
        <w:rFonts w:ascii="Courier New" w:hAnsi="Courier New" w:hint="default"/>
      </w:rPr>
    </w:lvl>
    <w:lvl w:ilvl="5" w:tplc="647C5340" w:tentative="1">
      <w:start w:val="1"/>
      <w:numFmt w:val="bullet"/>
      <w:lvlText w:val=""/>
      <w:lvlJc w:val="left"/>
      <w:pPr>
        <w:tabs>
          <w:tab w:val="num" w:pos="4680"/>
        </w:tabs>
        <w:ind w:left="4680" w:hanging="360"/>
      </w:pPr>
      <w:rPr>
        <w:rFonts w:ascii="Wingdings" w:hAnsi="Wingdings" w:hint="default"/>
      </w:rPr>
    </w:lvl>
    <w:lvl w:ilvl="6" w:tplc="1DA4A104" w:tentative="1">
      <w:start w:val="1"/>
      <w:numFmt w:val="bullet"/>
      <w:lvlText w:val=""/>
      <w:lvlJc w:val="left"/>
      <w:pPr>
        <w:tabs>
          <w:tab w:val="num" w:pos="5400"/>
        </w:tabs>
        <w:ind w:left="5400" w:hanging="360"/>
      </w:pPr>
      <w:rPr>
        <w:rFonts w:ascii="Symbol" w:hAnsi="Symbol" w:hint="default"/>
      </w:rPr>
    </w:lvl>
    <w:lvl w:ilvl="7" w:tplc="C68EBD42" w:tentative="1">
      <w:start w:val="1"/>
      <w:numFmt w:val="bullet"/>
      <w:lvlText w:val="o"/>
      <w:lvlJc w:val="left"/>
      <w:pPr>
        <w:tabs>
          <w:tab w:val="num" w:pos="6120"/>
        </w:tabs>
        <w:ind w:left="6120" w:hanging="360"/>
      </w:pPr>
      <w:rPr>
        <w:rFonts w:ascii="Courier New" w:hAnsi="Courier New" w:hint="default"/>
      </w:rPr>
    </w:lvl>
    <w:lvl w:ilvl="8" w:tplc="1090ADCC" w:tentative="1">
      <w:start w:val="1"/>
      <w:numFmt w:val="bullet"/>
      <w:lvlText w:val=""/>
      <w:lvlJc w:val="left"/>
      <w:pPr>
        <w:tabs>
          <w:tab w:val="num" w:pos="6840"/>
        </w:tabs>
        <w:ind w:left="6840" w:hanging="360"/>
      </w:pPr>
      <w:rPr>
        <w:rFonts w:ascii="Wingdings" w:hAnsi="Wingdings" w:hint="default"/>
      </w:rPr>
    </w:lvl>
  </w:abstractNum>
  <w:abstractNum w:abstractNumId="27">
    <w:nsid w:val="574B19A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86E3362"/>
    <w:multiLevelType w:val="hybridMultilevel"/>
    <w:tmpl w:val="D862A212"/>
    <w:lvl w:ilvl="0" w:tplc="FFFFFFFF">
      <w:start w:val="1"/>
      <w:numFmt w:val="lowerLetter"/>
      <w:lvlText w:val="(%1)"/>
      <w:lvlJc w:val="left"/>
      <w:pPr>
        <w:tabs>
          <w:tab w:val="num" w:pos="1800"/>
        </w:tabs>
        <w:ind w:left="180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506C5"/>
    <w:multiLevelType w:val="multilevel"/>
    <w:tmpl w:val="9E94083A"/>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F0169B4"/>
    <w:multiLevelType w:val="hybridMultilevel"/>
    <w:tmpl w:val="50900E5A"/>
    <w:lvl w:ilvl="0" w:tplc="FFFFFFFF">
      <w:start w:val="1"/>
      <w:numFmt w:val="lowerLetter"/>
      <w:lvlText w:val="(%1)"/>
      <w:lvlJc w:val="left"/>
      <w:pPr>
        <w:tabs>
          <w:tab w:val="num" w:pos="1800"/>
        </w:tabs>
        <w:ind w:left="1800" w:hanging="360"/>
      </w:pPr>
      <w:rPr>
        <w:rFonts w:ascii="Times New Roman" w:hAnsi="Times New Roman" w:hint="default"/>
        <w:b/>
        <w:i w:val="0"/>
        <w:sz w:val="24"/>
      </w:rPr>
    </w:lvl>
    <w:lvl w:ilvl="1" w:tplc="E11EF07C">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FA215F2"/>
    <w:multiLevelType w:val="hybridMultilevel"/>
    <w:tmpl w:val="AF6EB138"/>
    <w:lvl w:ilvl="0" w:tplc="6EB8E7FC">
      <w:start w:val="1"/>
      <w:numFmt w:val="lowerLetter"/>
      <w:lvlText w:val="(%1)"/>
      <w:lvlJc w:val="left"/>
      <w:pPr>
        <w:tabs>
          <w:tab w:val="num" w:pos="1080"/>
        </w:tabs>
        <w:ind w:left="1080" w:hanging="360"/>
      </w:pPr>
      <w:rPr>
        <w:rFonts w:ascii="Times New Roman" w:hAnsi="Times New Roman" w:hint="default"/>
        <w:b/>
        <w:i w:val="0"/>
        <w:sz w:val="24"/>
      </w:rPr>
    </w:lvl>
    <w:lvl w:ilvl="1" w:tplc="3B381D8C" w:tentative="1">
      <w:start w:val="1"/>
      <w:numFmt w:val="lowerLetter"/>
      <w:lvlText w:val="%2."/>
      <w:lvlJc w:val="left"/>
      <w:pPr>
        <w:tabs>
          <w:tab w:val="num" w:pos="720"/>
        </w:tabs>
        <w:ind w:left="720" w:hanging="360"/>
      </w:pPr>
    </w:lvl>
    <w:lvl w:ilvl="2" w:tplc="CF8E083A" w:tentative="1">
      <w:start w:val="1"/>
      <w:numFmt w:val="lowerRoman"/>
      <w:lvlText w:val="%3."/>
      <w:lvlJc w:val="right"/>
      <w:pPr>
        <w:tabs>
          <w:tab w:val="num" w:pos="1440"/>
        </w:tabs>
        <w:ind w:left="1440" w:hanging="180"/>
      </w:pPr>
    </w:lvl>
    <w:lvl w:ilvl="3" w:tplc="FE8A9ED2" w:tentative="1">
      <w:start w:val="1"/>
      <w:numFmt w:val="decimal"/>
      <w:lvlText w:val="%4."/>
      <w:lvlJc w:val="left"/>
      <w:pPr>
        <w:tabs>
          <w:tab w:val="num" w:pos="2160"/>
        </w:tabs>
        <w:ind w:left="2160" w:hanging="360"/>
      </w:pPr>
    </w:lvl>
    <w:lvl w:ilvl="4" w:tplc="46AE007A" w:tentative="1">
      <w:start w:val="1"/>
      <w:numFmt w:val="lowerLetter"/>
      <w:lvlText w:val="%5."/>
      <w:lvlJc w:val="left"/>
      <w:pPr>
        <w:tabs>
          <w:tab w:val="num" w:pos="2880"/>
        </w:tabs>
        <w:ind w:left="2880" w:hanging="360"/>
      </w:pPr>
    </w:lvl>
    <w:lvl w:ilvl="5" w:tplc="B6D0CE26" w:tentative="1">
      <w:start w:val="1"/>
      <w:numFmt w:val="lowerRoman"/>
      <w:lvlText w:val="%6."/>
      <w:lvlJc w:val="right"/>
      <w:pPr>
        <w:tabs>
          <w:tab w:val="num" w:pos="3600"/>
        </w:tabs>
        <w:ind w:left="3600" w:hanging="180"/>
      </w:pPr>
    </w:lvl>
    <w:lvl w:ilvl="6" w:tplc="267A66B6" w:tentative="1">
      <w:start w:val="1"/>
      <w:numFmt w:val="decimal"/>
      <w:lvlText w:val="%7."/>
      <w:lvlJc w:val="left"/>
      <w:pPr>
        <w:tabs>
          <w:tab w:val="num" w:pos="4320"/>
        </w:tabs>
        <w:ind w:left="4320" w:hanging="360"/>
      </w:pPr>
    </w:lvl>
    <w:lvl w:ilvl="7" w:tplc="DC9E1550" w:tentative="1">
      <w:start w:val="1"/>
      <w:numFmt w:val="lowerLetter"/>
      <w:lvlText w:val="%8."/>
      <w:lvlJc w:val="left"/>
      <w:pPr>
        <w:tabs>
          <w:tab w:val="num" w:pos="5040"/>
        </w:tabs>
        <w:ind w:left="5040" w:hanging="360"/>
      </w:pPr>
    </w:lvl>
    <w:lvl w:ilvl="8" w:tplc="E5047C6A" w:tentative="1">
      <w:start w:val="1"/>
      <w:numFmt w:val="lowerRoman"/>
      <w:lvlText w:val="%9."/>
      <w:lvlJc w:val="right"/>
      <w:pPr>
        <w:tabs>
          <w:tab w:val="num" w:pos="5760"/>
        </w:tabs>
        <w:ind w:left="5760" w:hanging="180"/>
      </w:pPr>
    </w:lvl>
  </w:abstractNum>
  <w:abstractNum w:abstractNumId="32">
    <w:nsid w:val="676421A6"/>
    <w:multiLevelType w:val="singleLevel"/>
    <w:tmpl w:val="0409000F"/>
    <w:lvl w:ilvl="0">
      <w:start w:val="1"/>
      <w:numFmt w:val="decimal"/>
      <w:lvlText w:val="%1."/>
      <w:lvlJc w:val="left"/>
      <w:pPr>
        <w:tabs>
          <w:tab w:val="num" w:pos="360"/>
        </w:tabs>
        <w:ind w:left="360" w:hanging="360"/>
      </w:pPr>
    </w:lvl>
  </w:abstractNum>
  <w:abstractNum w:abstractNumId="33">
    <w:nsid w:val="6FF135F6"/>
    <w:multiLevelType w:val="hybridMultilevel"/>
    <w:tmpl w:val="0256E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A82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26316FD"/>
    <w:multiLevelType w:val="hybridMultilevel"/>
    <w:tmpl w:val="281C179A"/>
    <w:lvl w:ilvl="0" w:tplc="4E1E53C8">
      <w:start w:val="4"/>
      <w:numFmt w:val="decimal"/>
      <w:lvlText w:val="%1."/>
      <w:lvlJc w:val="left"/>
      <w:pPr>
        <w:tabs>
          <w:tab w:val="num" w:pos="1440"/>
        </w:tabs>
        <w:ind w:left="1440" w:hanging="720"/>
      </w:pPr>
      <w:rPr>
        <w:rFonts w:hint="default"/>
        <w:u w:val="none"/>
      </w:rPr>
    </w:lvl>
    <w:lvl w:ilvl="1" w:tplc="830E2254" w:tentative="1">
      <w:start w:val="1"/>
      <w:numFmt w:val="lowerLetter"/>
      <w:lvlText w:val="%2."/>
      <w:lvlJc w:val="left"/>
      <w:pPr>
        <w:tabs>
          <w:tab w:val="num" w:pos="1440"/>
        </w:tabs>
        <w:ind w:left="1440" w:hanging="360"/>
      </w:pPr>
    </w:lvl>
    <w:lvl w:ilvl="2" w:tplc="69DCAF24" w:tentative="1">
      <w:start w:val="1"/>
      <w:numFmt w:val="lowerRoman"/>
      <w:lvlText w:val="%3."/>
      <w:lvlJc w:val="right"/>
      <w:pPr>
        <w:tabs>
          <w:tab w:val="num" w:pos="2160"/>
        </w:tabs>
        <w:ind w:left="2160" w:hanging="180"/>
      </w:pPr>
    </w:lvl>
    <w:lvl w:ilvl="3" w:tplc="A314E126" w:tentative="1">
      <w:start w:val="1"/>
      <w:numFmt w:val="decimal"/>
      <w:lvlText w:val="%4."/>
      <w:lvlJc w:val="left"/>
      <w:pPr>
        <w:tabs>
          <w:tab w:val="num" w:pos="2880"/>
        </w:tabs>
        <w:ind w:left="2880" w:hanging="360"/>
      </w:pPr>
    </w:lvl>
    <w:lvl w:ilvl="4" w:tplc="0816A014" w:tentative="1">
      <w:start w:val="1"/>
      <w:numFmt w:val="lowerLetter"/>
      <w:lvlText w:val="%5."/>
      <w:lvlJc w:val="left"/>
      <w:pPr>
        <w:tabs>
          <w:tab w:val="num" w:pos="3600"/>
        </w:tabs>
        <w:ind w:left="3600" w:hanging="360"/>
      </w:pPr>
    </w:lvl>
    <w:lvl w:ilvl="5" w:tplc="A31CFE1C" w:tentative="1">
      <w:start w:val="1"/>
      <w:numFmt w:val="lowerRoman"/>
      <w:lvlText w:val="%6."/>
      <w:lvlJc w:val="right"/>
      <w:pPr>
        <w:tabs>
          <w:tab w:val="num" w:pos="4320"/>
        </w:tabs>
        <w:ind w:left="4320" w:hanging="180"/>
      </w:pPr>
    </w:lvl>
    <w:lvl w:ilvl="6" w:tplc="329CE954" w:tentative="1">
      <w:start w:val="1"/>
      <w:numFmt w:val="decimal"/>
      <w:lvlText w:val="%7."/>
      <w:lvlJc w:val="left"/>
      <w:pPr>
        <w:tabs>
          <w:tab w:val="num" w:pos="5040"/>
        </w:tabs>
        <w:ind w:left="5040" w:hanging="360"/>
      </w:pPr>
    </w:lvl>
    <w:lvl w:ilvl="7" w:tplc="E0269372" w:tentative="1">
      <w:start w:val="1"/>
      <w:numFmt w:val="lowerLetter"/>
      <w:lvlText w:val="%8."/>
      <w:lvlJc w:val="left"/>
      <w:pPr>
        <w:tabs>
          <w:tab w:val="num" w:pos="5760"/>
        </w:tabs>
        <w:ind w:left="5760" w:hanging="360"/>
      </w:pPr>
    </w:lvl>
    <w:lvl w:ilvl="8" w:tplc="E4F08DAE" w:tentative="1">
      <w:start w:val="1"/>
      <w:numFmt w:val="lowerRoman"/>
      <w:lvlText w:val="%9."/>
      <w:lvlJc w:val="right"/>
      <w:pPr>
        <w:tabs>
          <w:tab w:val="num" w:pos="6480"/>
        </w:tabs>
        <w:ind w:left="6480" w:hanging="180"/>
      </w:pPr>
    </w:lvl>
  </w:abstractNum>
  <w:abstractNum w:abstractNumId="36">
    <w:nsid w:val="7BAE09E0"/>
    <w:multiLevelType w:val="singleLevel"/>
    <w:tmpl w:val="63F05AEE"/>
    <w:lvl w:ilvl="0">
      <w:start w:val="1"/>
      <w:numFmt w:val="bullet"/>
      <w:pStyle w:val="Triangle"/>
      <w:lvlText w:val=""/>
      <w:lvlJc w:val="left"/>
      <w:pPr>
        <w:tabs>
          <w:tab w:val="num" w:pos="360"/>
        </w:tabs>
        <w:ind w:left="360" w:hanging="360"/>
      </w:pPr>
      <w:rPr>
        <w:rFonts w:ascii="CommonBullets" w:hAnsi="CommonBullets" w:hint="default"/>
      </w:rPr>
    </w:lvl>
  </w:abstractNum>
  <w:abstractNum w:abstractNumId="37">
    <w:nsid w:val="7D917F8E"/>
    <w:multiLevelType w:val="hybridMultilevel"/>
    <w:tmpl w:val="9FA60BD0"/>
    <w:lvl w:ilvl="0" w:tplc="9D0419E8">
      <w:start w:val="1"/>
      <w:numFmt w:val="bullet"/>
      <w:lvlText w:val=""/>
      <w:lvlJc w:val="left"/>
      <w:pPr>
        <w:tabs>
          <w:tab w:val="num" w:pos="1440"/>
        </w:tabs>
        <w:ind w:left="1440" w:hanging="360"/>
      </w:pPr>
      <w:rPr>
        <w:rFonts w:ascii="Symbol" w:hAnsi="Symbol" w:hint="default"/>
      </w:rPr>
    </w:lvl>
    <w:lvl w:ilvl="1" w:tplc="536A8CD4" w:tentative="1">
      <w:start w:val="1"/>
      <w:numFmt w:val="bullet"/>
      <w:lvlText w:val="o"/>
      <w:lvlJc w:val="left"/>
      <w:pPr>
        <w:tabs>
          <w:tab w:val="num" w:pos="2160"/>
        </w:tabs>
        <w:ind w:left="2160" w:hanging="360"/>
      </w:pPr>
      <w:rPr>
        <w:rFonts w:ascii="Courier New" w:hAnsi="Courier New" w:hint="default"/>
      </w:rPr>
    </w:lvl>
    <w:lvl w:ilvl="2" w:tplc="1CD0D52E" w:tentative="1">
      <w:start w:val="1"/>
      <w:numFmt w:val="bullet"/>
      <w:lvlText w:val=""/>
      <w:lvlJc w:val="left"/>
      <w:pPr>
        <w:tabs>
          <w:tab w:val="num" w:pos="2880"/>
        </w:tabs>
        <w:ind w:left="2880" w:hanging="360"/>
      </w:pPr>
      <w:rPr>
        <w:rFonts w:ascii="Wingdings" w:hAnsi="Wingdings" w:hint="default"/>
      </w:rPr>
    </w:lvl>
    <w:lvl w:ilvl="3" w:tplc="D40432E0" w:tentative="1">
      <w:start w:val="1"/>
      <w:numFmt w:val="bullet"/>
      <w:lvlText w:val=""/>
      <w:lvlJc w:val="left"/>
      <w:pPr>
        <w:tabs>
          <w:tab w:val="num" w:pos="3600"/>
        </w:tabs>
        <w:ind w:left="3600" w:hanging="360"/>
      </w:pPr>
      <w:rPr>
        <w:rFonts w:ascii="Symbol" w:hAnsi="Symbol" w:hint="default"/>
      </w:rPr>
    </w:lvl>
    <w:lvl w:ilvl="4" w:tplc="16681988" w:tentative="1">
      <w:start w:val="1"/>
      <w:numFmt w:val="bullet"/>
      <w:lvlText w:val="o"/>
      <w:lvlJc w:val="left"/>
      <w:pPr>
        <w:tabs>
          <w:tab w:val="num" w:pos="4320"/>
        </w:tabs>
        <w:ind w:left="4320" w:hanging="360"/>
      </w:pPr>
      <w:rPr>
        <w:rFonts w:ascii="Courier New" w:hAnsi="Courier New" w:hint="default"/>
      </w:rPr>
    </w:lvl>
    <w:lvl w:ilvl="5" w:tplc="C2D87ECE" w:tentative="1">
      <w:start w:val="1"/>
      <w:numFmt w:val="bullet"/>
      <w:lvlText w:val=""/>
      <w:lvlJc w:val="left"/>
      <w:pPr>
        <w:tabs>
          <w:tab w:val="num" w:pos="5040"/>
        </w:tabs>
        <w:ind w:left="5040" w:hanging="360"/>
      </w:pPr>
      <w:rPr>
        <w:rFonts w:ascii="Wingdings" w:hAnsi="Wingdings" w:hint="default"/>
      </w:rPr>
    </w:lvl>
    <w:lvl w:ilvl="6" w:tplc="4B824166" w:tentative="1">
      <w:start w:val="1"/>
      <w:numFmt w:val="bullet"/>
      <w:lvlText w:val=""/>
      <w:lvlJc w:val="left"/>
      <w:pPr>
        <w:tabs>
          <w:tab w:val="num" w:pos="5760"/>
        </w:tabs>
        <w:ind w:left="5760" w:hanging="360"/>
      </w:pPr>
      <w:rPr>
        <w:rFonts w:ascii="Symbol" w:hAnsi="Symbol" w:hint="default"/>
      </w:rPr>
    </w:lvl>
    <w:lvl w:ilvl="7" w:tplc="4FC008E6" w:tentative="1">
      <w:start w:val="1"/>
      <w:numFmt w:val="bullet"/>
      <w:lvlText w:val="o"/>
      <w:lvlJc w:val="left"/>
      <w:pPr>
        <w:tabs>
          <w:tab w:val="num" w:pos="6480"/>
        </w:tabs>
        <w:ind w:left="6480" w:hanging="360"/>
      </w:pPr>
      <w:rPr>
        <w:rFonts w:ascii="Courier New" w:hAnsi="Courier New" w:hint="default"/>
      </w:rPr>
    </w:lvl>
    <w:lvl w:ilvl="8" w:tplc="C4C40AFA"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15"/>
  </w:num>
  <w:num w:numId="3">
    <w:abstractNumId w:val="30"/>
  </w:num>
  <w:num w:numId="4">
    <w:abstractNumId w:val="8"/>
  </w:num>
  <w:num w:numId="5">
    <w:abstractNumId w:val="36"/>
  </w:num>
  <w:num w:numId="6">
    <w:abstractNumId w:val="26"/>
  </w:num>
  <w:num w:numId="7">
    <w:abstractNumId w:val="31"/>
  </w:num>
  <w:num w:numId="8">
    <w:abstractNumId w:val="32"/>
  </w:num>
  <w:num w:numId="9">
    <w:abstractNumId w:val="17"/>
  </w:num>
  <w:num w:numId="10">
    <w:abstractNumId w:val="10"/>
  </w:num>
  <w:num w:numId="11">
    <w:abstractNumId w:val="27"/>
  </w:num>
  <w:num w:numId="12">
    <w:abstractNumId w:val="29"/>
  </w:num>
  <w:num w:numId="13">
    <w:abstractNumId w:val="11"/>
  </w:num>
  <w:num w:numId="14">
    <w:abstractNumId w:val="25"/>
  </w:num>
  <w:num w:numId="15">
    <w:abstractNumId w:val="37"/>
  </w:num>
  <w:num w:numId="1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2"/>
  </w:num>
  <w:num w:numId="18">
    <w:abstractNumId w:val="20"/>
  </w:num>
  <w:num w:numId="19">
    <w:abstractNumId w:val="6"/>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34"/>
  </w:num>
  <w:num w:numId="28">
    <w:abstractNumId w:val="9"/>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6"/>
  </w:num>
  <w:num w:numId="30">
    <w:abstractNumId w:val="33"/>
  </w:num>
  <w:num w:numId="31">
    <w:abstractNumId w:val="12"/>
  </w:num>
  <w:num w:numId="32">
    <w:abstractNumId w:val="28"/>
  </w:num>
  <w:num w:numId="33">
    <w:abstractNumId w:val="18"/>
  </w:num>
  <w:num w:numId="34">
    <w:abstractNumId w:val="13"/>
  </w:num>
  <w:num w:numId="35">
    <w:abstractNumId w:val="24"/>
  </w:num>
  <w:num w:numId="36">
    <w:abstractNumId w:val="19"/>
  </w:num>
  <w:num w:numId="37">
    <w:abstractNumId w:val="21"/>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91"/>
    <w:rsid w:val="000032B6"/>
    <w:rsid w:val="0001406A"/>
    <w:rsid w:val="00015B8B"/>
    <w:rsid w:val="000163A7"/>
    <w:rsid w:val="00017BC2"/>
    <w:rsid w:val="000214AF"/>
    <w:rsid w:val="000238DB"/>
    <w:rsid w:val="00023FBC"/>
    <w:rsid w:val="00024636"/>
    <w:rsid w:val="000259A7"/>
    <w:rsid w:val="000303CC"/>
    <w:rsid w:val="000504CC"/>
    <w:rsid w:val="00050C20"/>
    <w:rsid w:val="000707AB"/>
    <w:rsid w:val="00076B44"/>
    <w:rsid w:val="00084452"/>
    <w:rsid w:val="00084690"/>
    <w:rsid w:val="00090214"/>
    <w:rsid w:val="00090D8C"/>
    <w:rsid w:val="00093922"/>
    <w:rsid w:val="000A017E"/>
    <w:rsid w:val="000A1E71"/>
    <w:rsid w:val="000B48D6"/>
    <w:rsid w:val="000C0F48"/>
    <w:rsid w:val="000C3E40"/>
    <w:rsid w:val="000D13A6"/>
    <w:rsid w:val="000D2A81"/>
    <w:rsid w:val="000D6E73"/>
    <w:rsid w:val="000D77D8"/>
    <w:rsid w:val="000E2F2E"/>
    <w:rsid w:val="000E5E26"/>
    <w:rsid w:val="000F29A9"/>
    <w:rsid w:val="000F456A"/>
    <w:rsid w:val="000F4588"/>
    <w:rsid w:val="00100FC1"/>
    <w:rsid w:val="001070FF"/>
    <w:rsid w:val="00124BFA"/>
    <w:rsid w:val="00124D50"/>
    <w:rsid w:val="00127F80"/>
    <w:rsid w:val="00131E91"/>
    <w:rsid w:val="001364A0"/>
    <w:rsid w:val="00137720"/>
    <w:rsid w:val="00140D14"/>
    <w:rsid w:val="00143EC0"/>
    <w:rsid w:val="0014736C"/>
    <w:rsid w:val="001474E1"/>
    <w:rsid w:val="00151D64"/>
    <w:rsid w:val="00154370"/>
    <w:rsid w:val="001563BE"/>
    <w:rsid w:val="0016799B"/>
    <w:rsid w:val="001749FD"/>
    <w:rsid w:val="00181333"/>
    <w:rsid w:val="001817CC"/>
    <w:rsid w:val="001863F4"/>
    <w:rsid w:val="00187316"/>
    <w:rsid w:val="0019437E"/>
    <w:rsid w:val="00196C80"/>
    <w:rsid w:val="00197D39"/>
    <w:rsid w:val="001A0496"/>
    <w:rsid w:val="001A1DFF"/>
    <w:rsid w:val="001A3473"/>
    <w:rsid w:val="001A5398"/>
    <w:rsid w:val="001B0A86"/>
    <w:rsid w:val="001C5254"/>
    <w:rsid w:val="001D1089"/>
    <w:rsid w:val="001D317C"/>
    <w:rsid w:val="001D49A4"/>
    <w:rsid w:val="001D7D70"/>
    <w:rsid w:val="001D7FCA"/>
    <w:rsid w:val="001F211C"/>
    <w:rsid w:val="001F26C3"/>
    <w:rsid w:val="0020037B"/>
    <w:rsid w:val="00200437"/>
    <w:rsid w:val="00201501"/>
    <w:rsid w:val="002140B6"/>
    <w:rsid w:val="002248A6"/>
    <w:rsid w:val="0022644E"/>
    <w:rsid w:val="002268DE"/>
    <w:rsid w:val="0022747C"/>
    <w:rsid w:val="00227B09"/>
    <w:rsid w:val="00232055"/>
    <w:rsid w:val="00235A84"/>
    <w:rsid w:val="00237CC1"/>
    <w:rsid w:val="00237EC4"/>
    <w:rsid w:val="002421CC"/>
    <w:rsid w:val="002428A2"/>
    <w:rsid w:val="00266E06"/>
    <w:rsid w:val="0026741E"/>
    <w:rsid w:val="00270929"/>
    <w:rsid w:val="0027477E"/>
    <w:rsid w:val="002816C8"/>
    <w:rsid w:val="0028212F"/>
    <w:rsid w:val="00287FFA"/>
    <w:rsid w:val="002906D9"/>
    <w:rsid w:val="00290CC0"/>
    <w:rsid w:val="002927C6"/>
    <w:rsid w:val="002932A8"/>
    <w:rsid w:val="00293C6E"/>
    <w:rsid w:val="002A41C7"/>
    <w:rsid w:val="002B02B1"/>
    <w:rsid w:val="002C082C"/>
    <w:rsid w:val="002D2D26"/>
    <w:rsid w:val="002D4F9E"/>
    <w:rsid w:val="002D6493"/>
    <w:rsid w:val="0030077B"/>
    <w:rsid w:val="00303247"/>
    <w:rsid w:val="003033AE"/>
    <w:rsid w:val="00307B0F"/>
    <w:rsid w:val="0031387D"/>
    <w:rsid w:val="0031443F"/>
    <w:rsid w:val="003166FD"/>
    <w:rsid w:val="00316EE5"/>
    <w:rsid w:val="0032095D"/>
    <w:rsid w:val="00330EC4"/>
    <w:rsid w:val="00332BA3"/>
    <w:rsid w:val="00334C00"/>
    <w:rsid w:val="0034744B"/>
    <w:rsid w:val="00353055"/>
    <w:rsid w:val="00354EA0"/>
    <w:rsid w:val="00360086"/>
    <w:rsid w:val="00377F71"/>
    <w:rsid w:val="00382754"/>
    <w:rsid w:val="00383D9D"/>
    <w:rsid w:val="003900EA"/>
    <w:rsid w:val="003935B1"/>
    <w:rsid w:val="00394123"/>
    <w:rsid w:val="003A02B4"/>
    <w:rsid w:val="003A216E"/>
    <w:rsid w:val="003A26B7"/>
    <w:rsid w:val="003A3261"/>
    <w:rsid w:val="003A47F4"/>
    <w:rsid w:val="003A5920"/>
    <w:rsid w:val="003B50FB"/>
    <w:rsid w:val="003B658E"/>
    <w:rsid w:val="003B738F"/>
    <w:rsid w:val="003B760F"/>
    <w:rsid w:val="003B76D6"/>
    <w:rsid w:val="003C05B5"/>
    <w:rsid w:val="003C52C0"/>
    <w:rsid w:val="003C7B9F"/>
    <w:rsid w:val="003D1CA0"/>
    <w:rsid w:val="003D304E"/>
    <w:rsid w:val="003D5F67"/>
    <w:rsid w:val="003E0B14"/>
    <w:rsid w:val="003E3B8F"/>
    <w:rsid w:val="003F6D5E"/>
    <w:rsid w:val="003F7687"/>
    <w:rsid w:val="003F76E8"/>
    <w:rsid w:val="003F7D62"/>
    <w:rsid w:val="00401522"/>
    <w:rsid w:val="00410763"/>
    <w:rsid w:val="0041221A"/>
    <w:rsid w:val="00413B3E"/>
    <w:rsid w:val="00415331"/>
    <w:rsid w:val="00416249"/>
    <w:rsid w:val="00426818"/>
    <w:rsid w:val="0043332B"/>
    <w:rsid w:val="0043512C"/>
    <w:rsid w:val="0043771C"/>
    <w:rsid w:val="00437BEE"/>
    <w:rsid w:val="0045036E"/>
    <w:rsid w:val="00451F08"/>
    <w:rsid w:val="00453A8F"/>
    <w:rsid w:val="00461F0A"/>
    <w:rsid w:val="004638EB"/>
    <w:rsid w:val="004659BD"/>
    <w:rsid w:val="0047157B"/>
    <w:rsid w:val="00476931"/>
    <w:rsid w:val="00483BD0"/>
    <w:rsid w:val="00485F70"/>
    <w:rsid w:val="00486A53"/>
    <w:rsid w:val="00487B0F"/>
    <w:rsid w:val="004903CD"/>
    <w:rsid w:val="00493425"/>
    <w:rsid w:val="00494D26"/>
    <w:rsid w:val="004950ED"/>
    <w:rsid w:val="00497C9D"/>
    <w:rsid w:val="004A6D36"/>
    <w:rsid w:val="004C13B1"/>
    <w:rsid w:val="004C4E26"/>
    <w:rsid w:val="004C5CB2"/>
    <w:rsid w:val="004D54CD"/>
    <w:rsid w:val="004D79EF"/>
    <w:rsid w:val="004D7D99"/>
    <w:rsid w:val="004E2999"/>
    <w:rsid w:val="004E60A6"/>
    <w:rsid w:val="004F1DBD"/>
    <w:rsid w:val="004F2554"/>
    <w:rsid w:val="004F4B5E"/>
    <w:rsid w:val="00507AA3"/>
    <w:rsid w:val="00524A45"/>
    <w:rsid w:val="005266CF"/>
    <w:rsid w:val="005307CD"/>
    <w:rsid w:val="005340F8"/>
    <w:rsid w:val="00535F99"/>
    <w:rsid w:val="00542DBD"/>
    <w:rsid w:val="00545DD7"/>
    <w:rsid w:val="00546DC8"/>
    <w:rsid w:val="00555281"/>
    <w:rsid w:val="00555910"/>
    <w:rsid w:val="00557346"/>
    <w:rsid w:val="00562A94"/>
    <w:rsid w:val="0056335C"/>
    <w:rsid w:val="00584A35"/>
    <w:rsid w:val="00591EB7"/>
    <w:rsid w:val="00595858"/>
    <w:rsid w:val="005A17CC"/>
    <w:rsid w:val="005A7968"/>
    <w:rsid w:val="005B4761"/>
    <w:rsid w:val="005B4ED4"/>
    <w:rsid w:val="005B52B9"/>
    <w:rsid w:val="005D4424"/>
    <w:rsid w:val="005D4E33"/>
    <w:rsid w:val="005D5F9E"/>
    <w:rsid w:val="005E088E"/>
    <w:rsid w:val="005E55E3"/>
    <w:rsid w:val="005F31F3"/>
    <w:rsid w:val="005F499D"/>
    <w:rsid w:val="005F7630"/>
    <w:rsid w:val="006019ED"/>
    <w:rsid w:val="00610C5A"/>
    <w:rsid w:val="00610E1E"/>
    <w:rsid w:val="00612ACB"/>
    <w:rsid w:val="0061390A"/>
    <w:rsid w:val="006266F1"/>
    <w:rsid w:val="006314CE"/>
    <w:rsid w:val="00632649"/>
    <w:rsid w:val="00641805"/>
    <w:rsid w:val="00647697"/>
    <w:rsid w:val="006504E7"/>
    <w:rsid w:val="00650E7C"/>
    <w:rsid w:val="006705EF"/>
    <w:rsid w:val="00672289"/>
    <w:rsid w:val="006754F4"/>
    <w:rsid w:val="00684484"/>
    <w:rsid w:val="00693720"/>
    <w:rsid w:val="00693CFB"/>
    <w:rsid w:val="00693DB4"/>
    <w:rsid w:val="00694831"/>
    <w:rsid w:val="00697D8D"/>
    <w:rsid w:val="006A1F42"/>
    <w:rsid w:val="006A41AB"/>
    <w:rsid w:val="006A5FEE"/>
    <w:rsid w:val="006A6841"/>
    <w:rsid w:val="006A7210"/>
    <w:rsid w:val="006B1498"/>
    <w:rsid w:val="006B50D5"/>
    <w:rsid w:val="006C3220"/>
    <w:rsid w:val="006C5A1A"/>
    <w:rsid w:val="006C6162"/>
    <w:rsid w:val="006D1D99"/>
    <w:rsid w:val="006D26C0"/>
    <w:rsid w:val="006D4644"/>
    <w:rsid w:val="006D6FAE"/>
    <w:rsid w:val="006E1EDE"/>
    <w:rsid w:val="006E3484"/>
    <w:rsid w:val="006F4746"/>
    <w:rsid w:val="007035C5"/>
    <w:rsid w:val="007047AC"/>
    <w:rsid w:val="00706E2B"/>
    <w:rsid w:val="00713A43"/>
    <w:rsid w:val="00715559"/>
    <w:rsid w:val="0072771F"/>
    <w:rsid w:val="007324D7"/>
    <w:rsid w:val="00744443"/>
    <w:rsid w:val="00744AFE"/>
    <w:rsid w:val="00746F0B"/>
    <w:rsid w:val="00750223"/>
    <w:rsid w:val="00754244"/>
    <w:rsid w:val="0076690B"/>
    <w:rsid w:val="00767FC3"/>
    <w:rsid w:val="00772FEB"/>
    <w:rsid w:val="0077414F"/>
    <w:rsid w:val="00775496"/>
    <w:rsid w:val="00775AA9"/>
    <w:rsid w:val="00775F3A"/>
    <w:rsid w:val="00777BD2"/>
    <w:rsid w:val="007803E7"/>
    <w:rsid w:val="0078255B"/>
    <w:rsid w:val="007858F6"/>
    <w:rsid w:val="007865E8"/>
    <w:rsid w:val="0079137D"/>
    <w:rsid w:val="00794EDE"/>
    <w:rsid w:val="007A0B77"/>
    <w:rsid w:val="007A59D1"/>
    <w:rsid w:val="007B7815"/>
    <w:rsid w:val="007C06CA"/>
    <w:rsid w:val="007D4C1E"/>
    <w:rsid w:val="007D4D4E"/>
    <w:rsid w:val="007E2E7B"/>
    <w:rsid w:val="007F380E"/>
    <w:rsid w:val="007F7833"/>
    <w:rsid w:val="008008CA"/>
    <w:rsid w:val="008028CE"/>
    <w:rsid w:val="008054C9"/>
    <w:rsid w:val="008106DA"/>
    <w:rsid w:val="00817150"/>
    <w:rsid w:val="0082157E"/>
    <w:rsid w:val="008226B6"/>
    <w:rsid w:val="00832F57"/>
    <w:rsid w:val="0083368F"/>
    <w:rsid w:val="00841AB9"/>
    <w:rsid w:val="00841F5B"/>
    <w:rsid w:val="00843269"/>
    <w:rsid w:val="00844B95"/>
    <w:rsid w:val="0085047E"/>
    <w:rsid w:val="00850AE4"/>
    <w:rsid w:val="0085439A"/>
    <w:rsid w:val="00864664"/>
    <w:rsid w:val="00866727"/>
    <w:rsid w:val="008718A3"/>
    <w:rsid w:val="00875989"/>
    <w:rsid w:val="00876E00"/>
    <w:rsid w:val="00883F7A"/>
    <w:rsid w:val="008931BF"/>
    <w:rsid w:val="0089782A"/>
    <w:rsid w:val="00897E8F"/>
    <w:rsid w:val="008B4D98"/>
    <w:rsid w:val="008B537A"/>
    <w:rsid w:val="008B58AF"/>
    <w:rsid w:val="008C470A"/>
    <w:rsid w:val="008C4EB5"/>
    <w:rsid w:val="008C7DAF"/>
    <w:rsid w:val="008D2840"/>
    <w:rsid w:val="008D376E"/>
    <w:rsid w:val="008D6C24"/>
    <w:rsid w:val="008D73EA"/>
    <w:rsid w:val="008D76F0"/>
    <w:rsid w:val="008F2EF2"/>
    <w:rsid w:val="008F4EEB"/>
    <w:rsid w:val="008F52CA"/>
    <w:rsid w:val="00900FAC"/>
    <w:rsid w:val="009039A9"/>
    <w:rsid w:val="00903B60"/>
    <w:rsid w:val="009069F5"/>
    <w:rsid w:val="0091091A"/>
    <w:rsid w:val="0091181E"/>
    <w:rsid w:val="009139F4"/>
    <w:rsid w:val="00931029"/>
    <w:rsid w:val="00941970"/>
    <w:rsid w:val="00942BCA"/>
    <w:rsid w:val="00945F10"/>
    <w:rsid w:val="00946FFA"/>
    <w:rsid w:val="009513BE"/>
    <w:rsid w:val="00953B2F"/>
    <w:rsid w:val="009566D5"/>
    <w:rsid w:val="00962BCC"/>
    <w:rsid w:val="00964042"/>
    <w:rsid w:val="009712A2"/>
    <w:rsid w:val="009725CF"/>
    <w:rsid w:val="00975A4B"/>
    <w:rsid w:val="00976097"/>
    <w:rsid w:val="0098202A"/>
    <w:rsid w:val="00982527"/>
    <w:rsid w:val="009840EB"/>
    <w:rsid w:val="009962B4"/>
    <w:rsid w:val="009A0CEB"/>
    <w:rsid w:val="009A6D84"/>
    <w:rsid w:val="009A7822"/>
    <w:rsid w:val="009B0156"/>
    <w:rsid w:val="009B2C54"/>
    <w:rsid w:val="009C179C"/>
    <w:rsid w:val="009C489C"/>
    <w:rsid w:val="009C5FF6"/>
    <w:rsid w:val="009E3F82"/>
    <w:rsid w:val="00A055E6"/>
    <w:rsid w:val="00A1758C"/>
    <w:rsid w:val="00A34733"/>
    <w:rsid w:val="00A364C9"/>
    <w:rsid w:val="00A36923"/>
    <w:rsid w:val="00A40909"/>
    <w:rsid w:val="00A45328"/>
    <w:rsid w:val="00A47840"/>
    <w:rsid w:val="00A5198B"/>
    <w:rsid w:val="00A535F1"/>
    <w:rsid w:val="00A565E2"/>
    <w:rsid w:val="00A61CCE"/>
    <w:rsid w:val="00A63EB3"/>
    <w:rsid w:val="00A82D85"/>
    <w:rsid w:val="00A91076"/>
    <w:rsid w:val="00A939F4"/>
    <w:rsid w:val="00AA0981"/>
    <w:rsid w:val="00AA6602"/>
    <w:rsid w:val="00AB0F07"/>
    <w:rsid w:val="00AB2CFE"/>
    <w:rsid w:val="00AB3561"/>
    <w:rsid w:val="00AD351D"/>
    <w:rsid w:val="00AE0D7C"/>
    <w:rsid w:val="00AE1B7E"/>
    <w:rsid w:val="00AF14AD"/>
    <w:rsid w:val="00AF1D85"/>
    <w:rsid w:val="00AF2456"/>
    <w:rsid w:val="00AF51AE"/>
    <w:rsid w:val="00AF60EE"/>
    <w:rsid w:val="00AF64EA"/>
    <w:rsid w:val="00AF6CCD"/>
    <w:rsid w:val="00AF6DD2"/>
    <w:rsid w:val="00B008F3"/>
    <w:rsid w:val="00B00980"/>
    <w:rsid w:val="00B020F2"/>
    <w:rsid w:val="00B13F5E"/>
    <w:rsid w:val="00B1445D"/>
    <w:rsid w:val="00B17D49"/>
    <w:rsid w:val="00B22EFE"/>
    <w:rsid w:val="00B25BBE"/>
    <w:rsid w:val="00B301D9"/>
    <w:rsid w:val="00B427A5"/>
    <w:rsid w:val="00B46442"/>
    <w:rsid w:val="00B47662"/>
    <w:rsid w:val="00B52E24"/>
    <w:rsid w:val="00B57642"/>
    <w:rsid w:val="00B6046F"/>
    <w:rsid w:val="00B61263"/>
    <w:rsid w:val="00B627D5"/>
    <w:rsid w:val="00B62D76"/>
    <w:rsid w:val="00B7003B"/>
    <w:rsid w:val="00B75959"/>
    <w:rsid w:val="00B7632C"/>
    <w:rsid w:val="00B94ED9"/>
    <w:rsid w:val="00BA461C"/>
    <w:rsid w:val="00BD511E"/>
    <w:rsid w:val="00BD5948"/>
    <w:rsid w:val="00BD7883"/>
    <w:rsid w:val="00BE10C5"/>
    <w:rsid w:val="00BE4542"/>
    <w:rsid w:val="00BE54A8"/>
    <w:rsid w:val="00BF2255"/>
    <w:rsid w:val="00C077D2"/>
    <w:rsid w:val="00C07FD7"/>
    <w:rsid w:val="00C2197E"/>
    <w:rsid w:val="00C23A98"/>
    <w:rsid w:val="00C25BA4"/>
    <w:rsid w:val="00C27020"/>
    <w:rsid w:val="00C27563"/>
    <w:rsid w:val="00C327B0"/>
    <w:rsid w:val="00C415BC"/>
    <w:rsid w:val="00C46667"/>
    <w:rsid w:val="00C4722D"/>
    <w:rsid w:val="00C528A3"/>
    <w:rsid w:val="00C60608"/>
    <w:rsid w:val="00C61B02"/>
    <w:rsid w:val="00C63135"/>
    <w:rsid w:val="00C638B7"/>
    <w:rsid w:val="00C675BA"/>
    <w:rsid w:val="00C744A5"/>
    <w:rsid w:val="00C8395D"/>
    <w:rsid w:val="00C84909"/>
    <w:rsid w:val="00C91B62"/>
    <w:rsid w:val="00C9777C"/>
    <w:rsid w:val="00CA0715"/>
    <w:rsid w:val="00CA28ED"/>
    <w:rsid w:val="00CB2898"/>
    <w:rsid w:val="00CB600F"/>
    <w:rsid w:val="00CC0514"/>
    <w:rsid w:val="00CD00A6"/>
    <w:rsid w:val="00CD451D"/>
    <w:rsid w:val="00CD6DC4"/>
    <w:rsid w:val="00CD7933"/>
    <w:rsid w:val="00CE43B3"/>
    <w:rsid w:val="00CF11E3"/>
    <w:rsid w:val="00CF3487"/>
    <w:rsid w:val="00CF523F"/>
    <w:rsid w:val="00CF6B14"/>
    <w:rsid w:val="00CF703F"/>
    <w:rsid w:val="00CF75D4"/>
    <w:rsid w:val="00D00C58"/>
    <w:rsid w:val="00D04185"/>
    <w:rsid w:val="00D06E6B"/>
    <w:rsid w:val="00D128E7"/>
    <w:rsid w:val="00D136FE"/>
    <w:rsid w:val="00D1514E"/>
    <w:rsid w:val="00D20A05"/>
    <w:rsid w:val="00D22576"/>
    <w:rsid w:val="00D23251"/>
    <w:rsid w:val="00D24B81"/>
    <w:rsid w:val="00D343BD"/>
    <w:rsid w:val="00D54249"/>
    <w:rsid w:val="00D55021"/>
    <w:rsid w:val="00D64E06"/>
    <w:rsid w:val="00D7065C"/>
    <w:rsid w:val="00D75FAD"/>
    <w:rsid w:val="00D76684"/>
    <w:rsid w:val="00D91997"/>
    <w:rsid w:val="00D9760F"/>
    <w:rsid w:val="00DA106D"/>
    <w:rsid w:val="00DA1B54"/>
    <w:rsid w:val="00DB1C4E"/>
    <w:rsid w:val="00DB23CA"/>
    <w:rsid w:val="00DB4C8E"/>
    <w:rsid w:val="00DC05EA"/>
    <w:rsid w:val="00DC28D7"/>
    <w:rsid w:val="00DC668E"/>
    <w:rsid w:val="00DD2CE0"/>
    <w:rsid w:val="00DD4CB4"/>
    <w:rsid w:val="00DD6B91"/>
    <w:rsid w:val="00DE48CB"/>
    <w:rsid w:val="00DE4FC8"/>
    <w:rsid w:val="00DE67E0"/>
    <w:rsid w:val="00DE7910"/>
    <w:rsid w:val="00DF4400"/>
    <w:rsid w:val="00DF6EAE"/>
    <w:rsid w:val="00E00E41"/>
    <w:rsid w:val="00E01C2F"/>
    <w:rsid w:val="00E05DE6"/>
    <w:rsid w:val="00E1222C"/>
    <w:rsid w:val="00E2044F"/>
    <w:rsid w:val="00E21EEC"/>
    <w:rsid w:val="00E250F3"/>
    <w:rsid w:val="00E31558"/>
    <w:rsid w:val="00E40184"/>
    <w:rsid w:val="00E40DF3"/>
    <w:rsid w:val="00E46B9E"/>
    <w:rsid w:val="00E50D44"/>
    <w:rsid w:val="00E5382F"/>
    <w:rsid w:val="00E544B2"/>
    <w:rsid w:val="00E579CE"/>
    <w:rsid w:val="00E57B73"/>
    <w:rsid w:val="00E75D04"/>
    <w:rsid w:val="00E8565E"/>
    <w:rsid w:val="00E90ABA"/>
    <w:rsid w:val="00E95CE3"/>
    <w:rsid w:val="00EA1D60"/>
    <w:rsid w:val="00EB2208"/>
    <w:rsid w:val="00EC6303"/>
    <w:rsid w:val="00EC66A9"/>
    <w:rsid w:val="00EC7ACB"/>
    <w:rsid w:val="00ED1CC7"/>
    <w:rsid w:val="00ED26BE"/>
    <w:rsid w:val="00ED3228"/>
    <w:rsid w:val="00ED7698"/>
    <w:rsid w:val="00EE446C"/>
    <w:rsid w:val="00EF2892"/>
    <w:rsid w:val="00EF6C0E"/>
    <w:rsid w:val="00EF6FB9"/>
    <w:rsid w:val="00EF73C0"/>
    <w:rsid w:val="00EF76BB"/>
    <w:rsid w:val="00F00355"/>
    <w:rsid w:val="00F0486A"/>
    <w:rsid w:val="00F05E96"/>
    <w:rsid w:val="00F0642A"/>
    <w:rsid w:val="00F06590"/>
    <w:rsid w:val="00F13E5C"/>
    <w:rsid w:val="00F16D66"/>
    <w:rsid w:val="00F2009F"/>
    <w:rsid w:val="00F21874"/>
    <w:rsid w:val="00F21953"/>
    <w:rsid w:val="00F22DDA"/>
    <w:rsid w:val="00F23627"/>
    <w:rsid w:val="00F3004C"/>
    <w:rsid w:val="00F33B0C"/>
    <w:rsid w:val="00F34985"/>
    <w:rsid w:val="00F416FF"/>
    <w:rsid w:val="00F46900"/>
    <w:rsid w:val="00F604F1"/>
    <w:rsid w:val="00F617DD"/>
    <w:rsid w:val="00F63C09"/>
    <w:rsid w:val="00F63DD7"/>
    <w:rsid w:val="00F66E95"/>
    <w:rsid w:val="00F6736A"/>
    <w:rsid w:val="00F70834"/>
    <w:rsid w:val="00F7251B"/>
    <w:rsid w:val="00F72895"/>
    <w:rsid w:val="00F907B2"/>
    <w:rsid w:val="00F90D3B"/>
    <w:rsid w:val="00F92607"/>
    <w:rsid w:val="00FA04EC"/>
    <w:rsid w:val="00FA35E0"/>
    <w:rsid w:val="00FA4564"/>
    <w:rsid w:val="00FA6960"/>
    <w:rsid w:val="00FB6299"/>
    <w:rsid w:val="00FD0DA9"/>
    <w:rsid w:val="00FE039D"/>
    <w:rsid w:val="00FE1412"/>
    <w:rsid w:val="00FE21BD"/>
    <w:rsid w:val="00FE320F"/>
    <w:rsid w:val="00FF132A"/>
    <w:rsid w:val="00FF27E8"/>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7B0"/>
    <w:rPr>
      <w:sz w:val="24"/>
      <w:szCs w:val="24"/>
    </w:rPr>
  </w:style>
  <w:style w:type="paragraph" w:styleId="Heading1">
    <w:name w:val="heading 1"/>
    <w:basedOn w:val="Normal"/>
    <w:next w:val="Normal"/>
    <w:qFormat/>
    <w:pPr>
      <w:keepNext/>
      <w:keepLines/>
      <w:tabs>
        <w:tab w:val="left" w:pos="-1440"/>
        <w:tab w:val="left" w:pos="-720"/>
      </w:tabs>
      <w:suppressAutoHyphens/>
      <w:spacing w:line="228" w:lineRule="auto"/>
      <w:jc w:val="center"/>
      <w:outlineLvl w:val="0"/>
    </w:pPr>
    <w:rPr>
      <w:b/>
      <w:bCs/>
      <w:sz w:val="22"/>
    </w:rPr>
  </w:style>
  <w:style w:type="paragraph" w:styleId="Heading2">
    <w:name w:val="heading 2"/>
    <w:basedOn w:val="Normal"/>
    <w:next w:val="Normal"/>
    <w:qFormat/>
    <w:pPr>
      <w:keepNext/>
      <w:jc w:val="right"/>
      <w:outlineLvl w:val="1"/>
    </w:pPr>
    <w:rPr>
      <w:b/>
      <w:sz w:val="20"/>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rsid w:val="00B52E24"/>
    <w:pPr>
      <w:spacing w:before="240" w:after="60"/>
      <w:outlineLvl w:val="5"/>
    </w:pPr>
    <w:rPr>
      <w:i/>
      <w:sz w:val="22"/>
      <w:szCs w:val="20"/>
    </w:rPr>
  </w:style>
  <w:style w:type="paragraph" w:styleId="Heading7">
    <w:name w:val="heading 7"/>
    <w:basedOn w:val="Normal"/>
    <w:next w:val="Normal"/>
    <w:qFormat/>
    <w:rsid w:val="00B52E24"/>
    <w:pPr>
      <w:spacing w:before="240" w:after="60"/>
      <w:outlineLvl w:val="6"/>
    </w:pPr>
    <w:rPr>
      <w:rFonts w:ascii="Arial" w:hAnsi="Arial"/>
      <w:sz w:val="20"/>
      <w:szCs w:val="20"/>
    </w:rPr>
  </w:style>
  <w:style w:type="paragraph" w:styleId="Heading8">
    <w:name w:val="heading 8"/>
    <w:basedOn w:val="Normal"/>
    <w:next w:val="Normal"/>
    <w:qFormat/>
    <w:rsid w:val="00B52E24"/>
    <w:pPr>
      <w:spacing w:before="240" w:after="60"/>
      <w:outlineLvl w:val="7"/>
    </w:pPr>
    <w:rPr>
      <w:rFonts w:ascii="Arial" w:hAnsi="Arial"/>
      <w:i/>
      <w:sz w:val="20"/>
      <w:szCs w:val="20"/>
    </w:rPr>
  </w:style>
  <w:style w:type="paragraph" w:styleId="Heading9">
    <w:name w:val="heading 9"/>
    <w:basedOn w:val="Normal"/>
    <w:next w:val="Normal"/>
    <w:qFormat/>
    <w:rsid w:val="00B52E24"/>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EndnoteText">
    <w:name w:val="endnote text"/>
    <w:basedOn w:val="Normal"/>
    <w:semiHidden/>
    <w:rPr>
      <w:rFonts w:ascii="TmsRmn 12pt" w:hAnsi="TmsRmn 12pt"/>
      <w:szCs w:val="20"/>
    </w:rPr>
  </w:style>
  <w:style w:type="paragraph" w:styleId="BodyText2">
    <w:name w:val="Body Text 2"/>
    <w:basedOn w:val="Normal"/>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rPr>
      <w:sz w:val="23"/>
      <w:szCs w:val="20"/>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msRmn 12pt" w:hAnsi="TmsRmn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TmsRmn 12pt" w:hAnsi="TmsRmn 12pt"/>
      <w:sz w:val="24"/>
    </w:rPr>
  </w:style>
  <w:style w:type="paragraph" w:customStyle="1" w:styleId="RightPar2">
    <w:name w:val="Right Par 2"/>
    <w:pPr>
      <w:tabs>
        <w:tab w:val="left" w:pos="-720"/>
        <w:tab w:val="left" w:pos="0"/>
        <w:tab w:val="left" w:pos="720"/>
        <w:tab w:val="decimal" w:pos="1440"/>
      </w:tabs>
      <w:suppressAutoHyphens/>
      <w:ind w:left="1440"/>
    </w:pPr>
    <w:rPr>
      <w:rFonts w:ascii="TmsRmn 12pt" w:hAnsi="TmsRmn 12pt"/>
      <w:sz w:val="24"/>
    </w:rPr>
  </w:style>
  <w:style w:type="character" w:customStyle="1" w:styleId="Document3">
    <w:name w:val="Document 3"/>
    <w:rPr>
      <w:rFonts w:ascii="TmsRmn 12pt" w:hAnsi="TmsRmn 12pt"/>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TmsRmn 12pt" w:hAnsi="TmsRmn 12pt"/>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TmsRmn 12pt" w:hAnsi="TmsRmn 12pt"/>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TmsRmn 12pt" w:hAnsi="TmsRmn 12pt"/>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TmsRmn 12pt" w:hAnsi="TmsRmn 12pt"/>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msRmn 12pt" w:hAnsi="TmsRmn 12pt"/>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msRmn 12pt" w:hAnsi="TmsRmn 12pt"/>
      <w:sz w:val="24"/>
    </w:rPr>
  </w:style>
  <w:style w:type="paragraph" w:customStyle="1" w:styleId="Document1">
    <w:name w:val="Document 1"/>
    <w:pPr>
      <w:keepNext/>
      <w:keepLines/>
      <w:tabs>
        <w:tab w:val="left" w:pos="-720"/>
      </w:tabs>
      <w:suppressAutoHyphens/>
    </w:pPr>
    <w:rPr>
      <w:rFonts w:ascii="TmsRmn 12pt" w:hAnsi="TmsRmn 12pt"/>
      <w:sz w:val="24"/>
    </w:rPr>
  </w:style>
  <w:style w:type="character" w:customStyle="1" w:styleId="DocInit">
    <w:name w:val="Doc Init"/>
    <w:basedOn w:val="DefaultParagraphFont"/>
  </w:style>
  <w:style w:type="character" w:customStyle="1" w:styleId="TechInit">
    <w:name w:val="Tech Init"/>
    <w:rPr>
      <w:rFonts w:ascii="TmsRmn 12pt" w:hAnsi="TmsRmn 12pt"/>
      <w:noProof w:val="0"/>
      <w:sz w:val="24"/>
      <w:lang w:val="en-US"/>
    </w:rPr>
  </w:style>
  <w:style w:type="paragraph" w:customStyle="1" w:styleId="Technical5">
    <w:name w:val="Technical 5"/>
    <w:pPr>
      <w:tabs>
        <w:tab w:val="left" w:pos="-720"/>
      </w:tabs>
      <w:suppressAutoHyphens/>
      <w:ind w:firstLine="720"/>
    </w:pPr>
    <w:rPr>
      <w:rFonts w:ascii="TmsRmn 12pt" w:hAnsi="TmsRmn 12pt"/>
      <w:b/>
      <w:sz w:val="24"/>
    </w:rPr>
  </w:style>
  <w:style w:type="paragraph" w:customStyle="1" w:styleId="Technical6">
    <w:name w:val="Technical 6"/>
    <w:pPr>
      <w:tabs>
        <w:tab w:val="left" w:pos="-720"/>
      </w:tabs>
      <w:suppressAutoHyphens/>
      <w:ind w:firstLine="720"/>
    </w:pPr>
    <w:rPr>
      <w:rFonts w:ascii="TmsRmn 12pt" w:hAnsi="TmsRmn 12pt"/>
      <w:b/>
      <w:sz w:val="24"/>
    </w:rPr>
  </w:style>
  <w:style w:type="character" w:customStyle="1" w:styleId="Technical2">
    <w:name w:val="Technical 2"/>
    <w:rPr>
      <w:rFonts w:ascii="TmsRmn 12pt" w:hAnsi="TmsRmn 12pt"/>
      <w:noProof w:val="0"/>
      <w:sz w:val="24"/>
      <w:lang w:val="en-US"/>
    </w:rPr>
  </w:style>
  <w:style w:type="character" w:customStyle="1" w:styleId="Technical3">
    <w:name w:val="Technical 3"/>
    <w:rPr>
      <w:rFonts w:ascii="TmsRmn 12pt" w:hAnsi="TmsRmn 12pt"/>
      <w:noProof w:val="0"/>
      <w:sz w:val="24"/>
      <w:lang w:val="en-US"/>
    </w:rPr>
  </w:style>
  <w:style w:type="paragraph" w:customStyle="1" w:styleId="Technical4">
    <w:name w:val="Technical 4"/>
    <w:pPr>
      <w:tabs>
        <w:tab w:val="left" w:pos="-720"/>
      </w:tabs>
      <w:suppressAutoHyphens/>
    </w:pPr>
    <w:rPr>
      <w:rFonts w:ascii="TmsRmn 12pt" w:hAnsi="TmsRmn 12pt"/>
      <w:b/>
      <w:sz w:val="24"/>
    </w:rPr>
  </w:style>
  <w:style w:type="character" w:customStyle="1" w:styleId="Technical1">
    <w:name w:val="Technical 1"/>
    <w:rPr>
      <w:rFonts w:ascii="TmsRmn 12pt" w:hAnsi="TmsRmn 12pt"/>
      <w:noProof w:val="0"/>
      <w:sz w:val="24"/>
      <w:lang w:val="en-US"/>
    </w:rPr>
  </w:style>
  <w:style w:type="paragraph" w:customStyle="1" w:styleId="Technical7">
    <w:name w:val="Technical 7"/>
    <w:pPr>
      <w:tabs>
        <w:tab w:val="left" w:pos="-720"/>
      </w:tabs>
      <w:suppressAutoHyphens/>
      <w:ind w:firstLine="720"/>
    </w:pPr>
    <w:rPr>
      <w:rFonts w:ascii="TmsRmn 12pt" w:hAnsi="TmsRmn 12pt"/>
      <w:b/>
      <w:sz w:val="24"/>
    </w:rPr>
  </w:style>
  <w:style w:type="paragraph" w:customStyle="1" w:styleId="Technical8">
    <w:name w:val="Technical 8"/>
    <w:pPr>
      <w:tabs>
        <w:tab w:val="left" w:pos="-720"/>
      </w:tabs>
      <w:suppressAutoHyphens/>
      <w:ind w:firstLine="720"/>
    </w:pPr>
    <w:rPr>
      <w:rFonts w:ascii="TmsRmn 12pt" w:hAnsi="TmsRmn 12pt"/>
      <w:b/>
      <w:sz w:val="24"/>
    </w:rPr>
  </w:style>
  <w:style w:type="character" w:customStyle="1" w:styleId="TEAM">
    <w:name w:val="TEAM"/>
    <w:rPr>
      <w:rFonts w:ascii="Times New Roman" w:hAnsi="Times New Roman"/>
      <w:b/>
      <w:noProof w:val="0"/>
      <w:sz w:val="27"/>
      <w:lang w:val="en-US"/>
    </w:rPr>
  </w:style>
  <w:style w:type="character" w:customStyle="1" w:styleId="Tab">
    <w:name w:val="Tab"/>
    <w:basedOn w:val="DefaultParagraphFont"/>
  </w:style>
  <w:style w:type="character" w:customStyle="1" w:styleId="Font2">
    <w:name w:val="Font2"/>
    <w:rPr>
      <w:rFonts w:ascii="Times New Roman" w:hAnsi="Times New Roman"/>
      <w:noProof w:val="0"/>
      <w:sz w:val="19"/>
      <w:lang w:val="en-US"/>
    </w:rPr>
  </w:style>
  <w:style w:type="character" w:customStyle="1" w:styleId="Font">
    <w:name w:val="Font"/>
    <w:rPr>
      <w:rFonts w:ascii="Times New Roman" w:hAnsi="Times New Roman"/>
      <w:noProof w:val="0"/>
      <w:sz w:val="23"/>
      <w:lang w:val="en-US"/>
    </w:rPr>
  </w:style>
  <w:style w:type="character" w:customStyle="1" w:styleId="BoldUnd">
    <w:name w:val="BoldUnd"/>
    <w:rPr>
      <w:sz w:val="24"/>
      <w:u w:val="single"/>
    </w:rPr>
  </w:style>
  <w:style w:type="character" w:customStyle="1" w:styleId="CenterBold">
    <w:name w:val="CenterBold"/>
    <w:rPr>
      <w:b/>
      <w:sz w:val="24"/>
    </w:rPr>
  </w:style>
  <w:style w:type="character" w:customStyle="1" w:styleId="CenterUnd">
    <w:name w:val="CenterUnd"/>
    <w:rPr>
      <w:sz w:val="24"/>
      <w:u w:val="single"/>
    </w:rPr>
  </w:style>
  <w:style w:type="character" w:customStyle="1" w:styleId="CtrBoldUnd">
    <w:name w:val="CtrBoldUnd"/>
    <w:rPr>
      <w:sz w:val="24"/>
      <w:u w:val="single"/>
    </w:rPr>
  </w:style>
  <w:style w:type="character" w:customStyle="1" w:styleId="Title1">
    <w:name w:val="Title1"/>
    <w:rPr>
      <w:rFonts w:ascii="Playbill" w:hAnsi="Playbill"/>
      <w:b/>
      <w:noProof w:val="0"/>
      <w:sz w:val="26"/>
      <w:lang w:val="en-US"/>
    </w:rPr>
  </w:style>
  <w:style w:type="character" w:customStyle="1" w:styleId="SUBHEAD">
    <w:name w:val="SUBHEAD"/>
    <w:rPr>
      <w:rFonts w:ascii="Footlight MT Light" w:hAnsi="Footlight MT Light"/>
      <w:b/>
      <w:noProof w:val="0"/>
      <w:sz w:val="24"/>
      <w:lang w:val="en-US"/>
    </w:rPr>
  </w:style>
  <w:style w:type="character" w:customStyle="1" w:styleId="EquationCaption">
    <w:name w:val="_Equation Caption"/>
  </w:style>
  <w:style w:type="paragraph" w:customStyle="1" w:styleId="GovLtr">
    <w:name w:val="GovLtr"/>
    <w:basedOn w:val="Normal"/>
    <w:pPr>
      <w:spacing w:after="240" w:line="240" w:lineRule="exact"/>
    </w:pPr>
    <w:rPr>
      <w:rFonts w:ascii="Garamond" w:hAnsi="Garamond"/>
      <w:sz w:val="22"/>
      <w:szCs w:val="20"/>
    </w:rPr>
  </w:style>
  <w:style w:type="paragraph" w:styleId="BodyText3">
    <w:name w:val="Body Text 3"/>
    <w:basedOn w:val="Normal"/>
    <w:pPr>
      <w:jc w:val="both"/>
    </w:pPr>
    <w:rPr>
      <w:sz w:val="23"/>
    </w:rPr>
  </w:style>
  <w:style w:type="character" w:styleId="Hyperlink">
    <w:name w:val="Hyperlink"/>
    <w:rsid w:val="004F1DBD"/>
    <w:rPr>
      <w:color w:val="0000FF"/>
      <w:u w:val="single"/>
    </w:rPr>
  </w:style>
  <w:style w:type="table" w:styleId="TableGrid">
    <w:name w:val="Table Grid"/>
    <w:basedOn w:val="TableNormal"/>
    <w:rsid w:val="00E2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F703F"/>
    <w:pPr>
      <w:spacing w:after="120"/>
      <w:ind w:left="360"/>
    </w:pPr>
  </w:style>
  <w:style w:type="paragraph" w:styleId="FootnoteText">
    <w:name w:val="footnote text"/>
    <w:basedOn w:val="Normal"/>
    <w:semiHidden/>
    <w:rsid w:val="00CF703F"/>
    <w:rPr>
      <w:szCs w:val="20"/>
    </w:rPr>
  </w:style>
  <w:style w:type="character" w:styleId="FootnoteReference">
    <w:name w:val="footnote reference"/>
    <w:semiHidden/>
    <w:rsid w:val="00744443"/>
    <w:rPr>
      <w:vertAlign w:val="superscript"/>
    </w:rPr>
  </w:style>
  <w:style w:type="paragraph" w:styleId="Header">
    <w:name w:val="header"/>
    <w:aliases w:val="Top"/>
    <w:basedOn w:val="Normal"/>
    <w:rsid w:val="00C415BC"/>
    <w:pPr>
      <w:tabs>
        <w:tab w:val="center" w:pos="4320"/>
        <w:tab w:val="right" w:pos="8640"/>
      </w:tabs>
    </w:pPr>
  </w:style>
  <w:style w:type="paragraph" w:styleId="Footer">
    <w:name w:val="footer"/>
    <w:basedOn w:val="Normal"/>
    <w:rsid w:val="00C415BC"/>
    <w:pPr>
      <w:tabs>
        <w:tab w:val="center" w:pos="4320"/>
        <w:tab w:val="right" w:pos="8640"/>
      </w:tabs>
    </w:pPr>
  </w:style>
  <w:style w:type="character" w:styleId="FollowedHyperlink">
    <w:name w:val="FollowedHyperlink"/>
    <w:rsid w:val="00591EB7"/>
    <w:rPr>
      <w:color w:val="800080"/>
      <w:u w:val="single"/>
    </w:rPr>
  </w:style>
  <w:style w:type="paragraph" w:customStyle="1" w:styleId="Triangle">
    <w:name w:val="_ Triangle"/>
    <w:basedOn w:val="Normal"/>
    <w:rsid w:val="0001406A"/>
    <w:pPr>
      <w:numPr>
        <w:numId w:val="5"/>
      </w:numPr>
      <w:spacing w:after="60"/>
    </w:pPr>
    <w:rPr>
      <w:szCs w:val="20"/>
    </w:rPr>
  </w:style>
  <w:style w:type="paragraph" w:styleId="ListBullet">
    <w:name w:val="List Bullet"/>
    <w:basedOn w:val="Normal"/>
    <w:autoRedefine/>
    <w:rsid w:val="0001406A"/>
    <w:pPr>
      <w:numPr>
        <w:numId w:val="4"/>
      </w:numPr>
    </w:pPr>
    <w:rPr>
      <w:szCs w:val="20"/>
    </w:rPr>
  </w:style>
  <w:style w:type="paragraph" w:styleId="ListBullet2">
    <w:name w:val="List Bullet 2"/>
    <w:basedOn w:val="Normal"/>
    <w:autoRedefine/>
    <w:rsid w:val="0001406A"/>
    <w:pPr>
      <w:numPr>
        <w:numId w:val="6"/>
      </w:numPr>
    </w:pPr>
    <w:rPr>
      <w:szCs w:val="20"/>
    </w:rPr>
  </w:style>
  <w:style w:type="paragraph" w:customStyle="1" w:styleId="HeaderBottom">
    <w:name w:val="Header Bottom"/>
    <w:basedOn w:val="Normal"/>
    <w:rsid w:val="00A82D85"/>
    <w:pPr>
      <w:pBdr>
        <w:bottom w:val="single" w:sz="4" w:space="3" w:color="auto"/>
      </w:pBdr>
      <w:tabs>
        <w:tab w:val="right" w:pos="9360"/>
      </w:tabs>
      <w:spacing w:before="60"/>
    </w:pPr>
    <w:rPr>
      <w:rFonts w:ascii="Arial" w:hAnsi="Arial"/>
      <w:b/>
      <w:sz w:val="22"/>
      <w:szCs w:val="20"/>
    </w:rPr>
  </w:style>
  <w:style w:type="character" w:styleId="PageNumber">
    <w:name w:val="page number"/>
    <w:basedOn w:val="DefaultParagraphFont"/>
    <w:rsid w:val="00A82D85"/>
  </w:style>
  <w:style w:type="paragraph" w:styleId="BodyTextIndent2">
    <w:name w:val="Body Text Indent 2"/>
    <w:basedOn w:val="Normal"/>
    <w:rsid w:val="00A82D85"/>
    <w:pPr>
      <w:widowControl w:val="0"/>
      <w:tabs>
        <w:tab w:val="left" w:pos="540"/>
      </w:tabs>
      <w:spacing w:after="61"/>
      <w:ind w:left="540" w:hanging="540"/>
    </w:pPr>
    <w:rPr>
      <w:snapToGrid w:val="0"/>
      <w:szCs w:val="20"/>
    </w:rPr>
  </w:style>
  <w:style w:type="paragraph" w:styleId="BodyTextIndent3">
    <w:name w:val="Body Text Indent 3"/>
    <w:basedOn w:val="Normal"/>
    <w:rsid w:val="00A82D85"/>
    <w:pPr>
      <w:widowControl w:val="0"/>
      <w:spacing w:after="61"/>
      <w:ind w:left="450"/>
    </w:pPr>
    <w:rPr>
      <w:snapToGrid w:val="0"/>
      <w:sz w:val="22"/>
      <w:szCs w:val="20"/>
    </w:rPr>
  </w:style>
  <w:style w:type="paragraph" w:styleId="BalloonText">
    <w:name w:val="Balloon Text"/>
    <w:basedOn w:val="Normal"/>
    <w:semiHidden/>
    <w:rsid w:val="00A364C9"/>
    <w:rPr>
      <w:rFonts w:ascii="Tahoma" w:hAnsi="Tahoma" w:cs="Tahoma"/>
      <w:sz w:val="16"/>
      <w:szCs w:val="16"/>
    </w:rPr>
  </w:style>
  <w:style w:type="paragraph" w:styleId="BlockText">
    <w:name w:val="Block Text"/>
    <w:basedOn w:val="Normal"/>
    <w:rsid w:val="00B52E24"/>
    <w:pPr>
      <w:keepNext/>
      <w:keepLines/>
      <w:tabs>
        <w:tab w:val="left" w:pos="-1440"/>
        <w:tab w:val="left" w:pos="-720"/>
        <w:tab w:val="left" w:pos="0"/>
      </w:tabs>
      <w:suppressAutoHyphens/>
      <w:spacing w:line="228" w:lineRule="auto"/>
      <w:ind w:left="720" w:right="-720" w:hanging="720"/>
      <w:jc w:val="both"/>
    </w:pPr>
    <w:rPr>
      <w:szCs w:val="20"/>
    </w:rPr>
  </w:style>
  <w:style w:type="paragraph" w:styleId="BodyTextFirstIndent">
    <w:name w:val="Body Text First Indent"/>
    <w:basedOn w:val="BodyText"/>
    <w:rsid w:val="00B52E24"/>
    <w:pPr>
      <w:spacing w:after="120"/>
      <w:ind w:firstLine="210"/>
    </w:pPr>
    <w:rPr>
      <w:rFonts w:ascii="TmsRmn 12pt" w:hAnsi="TmsRmn 12pt"/>
      <w:sz w:val="24"/>
      <w:szCs w:val="20"/>
    </w:rPr>
  </w:style>
  <w:style w:type="paragraph" w:styleId="BodyTextFirstIndent2">
    <w:name w:val="Body Text First Indent 2"/>
    <w:basedOn w:val="BodyTextIndent"/>
    <w:rsid w:val="00B52E24"/>
    <w:pPr>
      <w:ind w:firstLine="210"/>
    </w:pPr>
    <w:rPr>
      <w:rFonts w:ascii="TmsRmn 12pt" w:hAnsi="TmsRmn 12pt"/>
      <w:szCs w:val="20"/>
    </w:rPr>
  </w:style>
  <w:style w:type="paragraph" w:styleId="Closing">
    <w:name w:val="Closing"/>
    <w:basedOn w:val="Normal"/>
    <w:rsid w:val="00B52E24"/>
    <w:pPr>
      <w:ind w:left="4320"/>
    </w:pPr>
    <w:rPr>
      <w:szCs w:val="20"/>
    </w:rPr>
  </w:style>
  <w:style w:type="paragraph" w:styleId="Date">
    <w:name w:val="Date"/>
    <w:basedOn w:val="Normal"/>
    <w:next w:val="Normal"/>
    <w:rsid w:val="00B52E24"/>
    <w:rPr>
      <w:szCs w:val="20"/>
    </w:rPr>
  </w:style>
  <w:style w:type="paragraph" w:styleId="EnvelopeAddress">
    <w:name w:val="envelope address"/>
    <w:basedOn w:val="Normal"/>
    <w:rsid w:val="00B52E24"/>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52E24"/>
    <w:rPr>
      <w:rFonts w:ascii="Arial" w:hAnsi="Arial"/>
      <w:sz w:val="20"/>
      <w:szCs w:val="20"/>
    </w:rPr>
  </w:style>
  <w:style w:type="paragraph" w:styleId="List">
    <w:name w:val="List"/>
    <w:basedOn w:val="Normal"/>
    <w:rsid w:val="00B52E24"/>
    <w:pPr>
      <w:ind w:left="360" w:hanging="360"/>
    </w:pPr>
    <w:rPr>
      <w:szCs w:val="20"/>
    </w:rPr>
  </w:style>
  <w:style w:type="paragraph" w:styleId="List2">
    <w:name w:val="List 2"/>
    <w:basedOn w:val="Normal"/>
    <w:rsid w:val="00B52E24"/>
    <w:pPr>
      <w:ind w:left="720" w:hanging="360"/>
    </w:pPr>
    <w:rPr>
      <w:szCs w:val="20"/>
    </w:rPr>
  </w:style>
  <w:style w:type="paragraph" w:styleId="List3">
    <w:name w:val="List 3"/>
    <w:basedOn w:val="Normal"/>
    <w:rsid w:val="00B52E24"/>
    <w:pPr>
      <w:ind w:left="1080" w:hanging="360"/>
    </w:pPr>
    <w:rPr>
      <w:szCs w:val="20"/>
    </w:rPr>
  </w:style>
  <w:style w:type="paragraph" w:styleId="List4">
    <w:name w:val="List 4"/>
    <w:basedOn w:val="Normal"/>
    <w:rsid w:val="00B52E24"/>
    <w:pPr>
      <w:ind w:left="1440" w:hanging="360"/>
    </w:pPr>
    <w:rPr>
      <w:szCs w:val="20"/>
    </w:rPr>
  </w:style>
  <w:style w:type="paragraph" w:styleId="List5">
    <w:name w:val="List 5"/>
    <w:basedOn w:val="Normal"/>
    <w:rsid w:val="00B52E24"/>
    <w:pPr>
      <w:ind w:left="1800" w:hanging="360"/>
    </w:pPr>
    <w:rPr>
      <w:szCs w:val="20"/>
    </w:rPr>
  </w:style>
  <w:style w:type="paragraph" w:styleId="ListBullet3">
    <w:name w:val="List Bullet 3"/>
    <w:basedOn w:val="Normal"/>
    <w:autoRedefine/>
    <w:rsid w:val="00B52E24"/>
    <w:pPr>
      <w:numPr>
        <w:numId w:val="19"/>
      </w:numPr>
    </w:pPr>
    <w:rPr>
      <w:szCs w:val="20"/>
    </w:rPr>
  </w:style>
  <w:style w:type="paragraph" w:styleId="ListBullet4">
    <w:name w:val="List Bullet 4"/>
    <w:basedOn w:val="Normal"/>
    <w:autoRedefine/>
    <w:rsid w:val="00B52E24"/>
    <w:pPr>
      <w:numPr>
        <w:numId w:val="20"/>
      </w:numPr>
    </w:pPr>
    <w:rPr>
      <w:szCs w:val="20"/>
    </w:rPr>
  </w:style>
  <w:style w:type="paragraph" w:styleId="ListBullet5">
    <w:name w:val="List Bullet 5"/>
    <w:basedOn w:val="Normal"/>
    <w:autoRedefine/>
    <w:rsid w:val="00B52E24"/>
    <w:pPr>
      <w:numPr>
        <w:numId w:val="21"/>
      </w:numPr>
    </w:pPr>
    <w:rPr>
      <w:szCs w:val="20"/>
    </w:rPr>
  </w:style>
  <w:style w:type="paragraph" w:styleId="ListContinue">
    <w:name w:val="List Continue"/>
    <w:basedOn w:val="Normal"/>
    <w:rsid w:val="00B52E24"/>
    <w:pPr>
      <w:spacing w:after="120"/>
      <w:ind w:left="360"/>
    </w:pPr>
    <w:rPr>
      <w:szCs w:val="20"/>
    </w:rPr>
  </w:style>
  <w:style w:type="paragraph" w:styleId="ListContinue2">
    <w:name w:val="List Continue 2"/>
    <w:basedOn w:val="Normal"/>
    <w:rsid w:val="00B52E24"/>
    <w:pPr>
      <w:spacing w:after="120"/>
      <w:ind w:left="720"/>
    </w:pPr>
    <w:rPr>
      <w:szCs w:val="20"/>
    </w:rPr>
  </w:style>
  <w:style w:type="paragraph" w:styleId="ListContinue3">
    <w:name w:val="List Continue 3"/>
    <w:basedOn w:val="Normal"/>
    <w:rsid w:val="00B52E24"/>
    <w:pPr>
      <w:spacing w:after="120"/>
      <w:ind w:left="1080"/>
    </w:pPr>
    <w:rPr>
      <w:szCs w:val="20"/>
    </w:rPr>
  </w:style>
  <w:style w:type="paragraph" w:styleId="ListContinue4">
    <w:name w:val="List Continue 4"/>
    <w:basedOn w:val="Normal"/>
    <w:rsid w:val="00B52E24"/>
    <w:pPr>
      <w:spacing w:after="120"/>
      <w:ind w:left="1440"/>
    </w:pPr>
    <w:rPr>
      <w:szCs w:val="20"/>
    </w:rPr>
  </w:style>
  <w:style w:type="paragraph" w:styleId="ListContinue5">
    <w:name w:val="List Continue 5"/>
    <w:basedOn w:val="Normal"/>
    <w:rsid w:val="00B52E24"/>
    <w:pPr>
      <w:spacing w:after="120"/>
      <w:ind w:left="1800"/>
    </w:pPr>
    <w:rPr>
      <w:szCs w:val="20"/>
    </w:rPr>
  </w:style>
  <w:style w:type="paragraph" w:styleId="ListNumber">
    <w:name w:val="List Number"/>
    <w:basedOn w:val="Normal"/>
    <w:rsid w:val="00B52E24"/>
    <w:pPr>
      <w:numPr>
        <w:numId w:val="22"/>
      </w:numPr>
    </w:pPr>
    <w:rPr>
      <w:szCs w:val="20"/>
    </w:rPr>
  </w:style>
  <w:style w:type="paragraph" w:styleId="ListNumber2">
    <w:name w:val="List Number 2"/>
    <w:basedOn w:val="Normal"/>
    <w:rsid w:val="00B52E24"/>
    <w:pPr>
      <w:numPr>
        <w:numId w:val="23"/>
      </w:numPr>
    </w:pPr>
    <w:rPr>
      <w:szCs w:val="20"/>
    </w:rPr>
  </w:style>
  <w:style w:type="paragraph" w:styleId="ListNumber3">
    <w:name w:val="List Number 3"/>
    <w:basedOn w:val="Normal"/>
    <w:rsid w:val="00B52E24"/>
    <w:pPr>
      <w:numPr>
        <w:numId w:val="24"/>
      </w:numPr>
    </w:pPr>
    <w:rPr>
      <w:szCs w:val="20"/>
    </w:rPr>
  </w:style>
  <w:style w:type="paragraph" w:styleId="ListNumber4">
    <w:name w:val="List Number 4"/>
    <w:basedOn w:val="Normal"/>
    <w:rsid w:val="00B52E24"/>
    <w:pPr>
      <w:numPr>
        <w:numId w:val="25"/>
      </w:numPr>
    </w:pPr>
    <w:rPr>
      <w:szCs w:val="20"/>
    </w:rPr>
  </w:style>
  <w:style w:type="paragraph" w:styleId="ListNumber5">
    <w:name w:val="List Number 5"/>
    <w:basedOn w:val="Normal"/>
    <w:rsid w:val="00B52E24"/>
    <w:pPr>
      <w:numPr>
        <w:numId w:val="26"/>
      </w:numPr>
    </w:pPr>
    <w:rPr>
      <w:szCs w:val="20"/>
    </w:rPr>
  </w:style>
  <w:style w:type="paragraph" w:styleId="MessageHeader">
    <w:name w:val="Message Header"/>
    <w:basedOn w:val="Normal"/>
    <w:rsid w:val="00B52E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paragraph" w:styleId="NormalIndent">
    <w:name w:val="Normal Indent"/>
    <w:basedOn w:val="Normal"/>
    <w:rsid w:val="00B52E24"/>
    <w:pPr>
      <w:ind w:left="720"/>
    </w:pPr>
    <w:rPr>
      <w:szCs w:val="20"/>
    </w:rPr>
  </w:style>
  <w:style w:type="paragraph" w:styleId="NoteHeading">
    <w:name w:val="Note Heading"/>
    <w:basedOn w:val="Normal"/>
    <w:next w:val="Normal"/>
    <w:rsid w:val="00B52E24"/>
    <w:rPr>
      <w:szCs w:val="20"/>
    </w:rPr>
  </w:style>
  <w:style w:type="paragraph" w:styleId="PlainText">
    <w:name w:val="Plain Text"/>
    <w:basedOn w:val="Normal"/>
    <w:rsid w:val="00B52E24"/>
    <w:rPr>
      <w:rFonts w:ascii="Courier New" w:hAnsi="Courier New"/>
      <w:sz w:val="20"/>
      <w:szCs w:val="20"/>
    </w:rPr>
  </w:style>
  <w:style w:type="paragraph" w:styleId="Salutation">
    <w:name w:val="Salutation"/>
    <w:basedOn w:val="Normal"/>
    <w:next w:val="Normal"/>
    <w:rsid w:val="00B52E24"/>
    <w:rPr>
      <w:szCs w:val="20"/>
    </w:rPr>
  </w:style>
  <w:style w:type="paragraph" w:styleId="Signature">
    <w:name w:val="Signature"/>
    <w:basedOn w:val="Normal"/>
    <w:rsid w:val="00B52E24"/>
    <w:pPr>
      <w:ind w:left="4320"/>
    </w:pPr>
    <w:rPr>
      <w:szCs w:val="20"/>
    </w:rPr>
  </w:style>
  <w:style w:type="paragraph" w:styleId="Subtitle">
    <w:name w:val="Subtitle"/>
    <w:basedOn w:val="Normal"/>
    <w:qFormat/>
    <w:rsid w:val="00B52E24"/>
    <w:pPr>
      <w:spacing w:after="60"/>
      <w:jc w:val="center"/>
      <w:outlineLvl w:val="1"/>
    </w:pPr>
    <w:rPr>
      <w:rFonts w:ascii="Arial" w:hAnsi="Arial"/>
      <w:szCs w:val="20"/>
    </w:rPr>
  </w:style>
  <w:style w:type="paragraph" w:styleId="Title">
    <w:name w:val="Title"/>
    <w:basedOn w:val="Normal"/>
    <w:qFormat/>
    <w:rsid w:val="00B52E24"/>
    <w:pPr>
      <w:spacing w:before="240" w:after="60"/>
      <w:jc w:val="center"/>
      <w:outlineLvl w:val="0"/>
    </w:pPr>
    <w:rPr>
      <w:rFonts w:ascii="Arial" w:hAnsi="Arial"/>
      <w:b/>
      <w:kern w:val="28"/>
      <w:sz w:val="32"/>
      <w:szCs w:val="20"/>
    </w:rPr>
  </w:style>
  <w:style w:type="paragraph" w:customStyle="1" w:styleId="xl24">
    <w:name w:val="xl24"/>
    <w:basedOn w:val="Normal"/>
    <w:rsid w:val="00B52E24"/>
    <w:pPr>
      <w:spacing w:before="100" w:beforeAutospacing="1" w:after="100" w:afterAutospacing="1"/>
    </w:pPr>
    <w:rPr>
      <w:rFonts w:ascii="Arial" w:eastAsia="Arial Unicode MS" w:hAnsi="Arial" w:cs="Arial"/>
      <w:b/>
      <w:bCs/>
      <w:color w:val="000000"/>
      <w:sz w:val="20"/>
      <w:szCs w:val="20"/>
    </w:rPr>
  </w:style>
  <w:style w:type="paragraph" w:customStyle="1" w:styleId="xl25">
    <w:name w:val="xl25"/>
    <w:basedOn w:val="Normal"/>
    <w:rsid w:val="00B52E24"/>
    <w:pPr>
      <w:spacing w:before="100" w:beforeAutospacing="1" w:after="100" w:afterAutospacing="1"/>
    </w:pPr>
    <w:rPr>
      <w:rFonts w:ascii="Arial" w:eastAsia="Arial Unicode MS" w:hAnsi="Arial" w:cs="Arial"/>
      <w:sz w:val="20"/>
      <w:szCs w:val="20"/>
    </w:rPr>
  </w:style>
  <w:style w:type="paragraph" w:customStyle="1" w:styleId="xl26">
    <w:name w:val="xl26"/>
    <w:basedOn w:val="Normal"/>
    <w:rsid w:val="00B52E24"/>
    <w:pPr>
      <w:spacing w:before="100" w:beforeAutospacing="1" w:after="100" w:afterAutospacing="1"/>
      <w:jc w:val="center"/>
    </w:pPr>
    <w:rPr>
      <w:rFonts w:ascii="Arial" w:eastAsia="Arial Unicode MS" w:hAnsi="Arial" w:cs="Arial"/>
      <w:color w:val="000000"/>
      <w:sz w:val="20"/>
      <w:szCs w:val="20"/>
    </w:rPr>
  </w:style>
  <w:style w:type="paragraph" w:customStyle="1" w:styleId="xl27">
    <w:name w:val="xl27"/>
    <w:basedOn w:val="Normal"/>
    <w:rsid w:val="00B52E24"/>
    <w:pPr>
      <w:spacing w:before="100" w:beforeAutospacing="1" w:after="100" w:afterAutospacing="1"/>
      <w:jc w:val="center"/>
    </w:pPr>
    <w:rPr>
      <w:rFonts w:ascii="Arial" w:eastAsia="Arial Unicode MS" w:hAnsi="Arial" w:cs="Arial"/>
      <w:b/>
      <w:bCs/>
      <w:color w:val="000000"/>
      <w:sz w:val="20"/>
      <w:szCs w:val="20"/>
    </w:rPr>
  </w:style>
  <w:style w:type="paragraph" w:customStyle="1" w:styleId="xl28">
    <w:name w:val="xl28"/>
    <w:basedOn w:val="Normal"/>
    <w:rsid w:val="00B52E2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29">
    <w:name w:val="xl29"/>
    <w:basedOn w:val="Normal"/>
    <w:rsid w:val="00B52E24"/>
    <w:pPr>
      <w:pBdr>
        <w:top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30">
    <w:name w:val="xl30"/>
    <w:basedOn w:val="Normal"/>
    <w:rsid w:val="00B52E2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31">
    <w:name w:val="xl31"/>
    <w:basedOn w:val="Normal"/>
    <w:rsid w:val="00B52E24"/>
    <w:pPr>
      <w:pBdr>
        <w:top w:val="single" w:sz="4" w:space="0" w:color="auto"/>
      </w:pBdr>
      <w:spacing w:before="100" w:beforeAutospacing="1" w:after="100" w:afterAutospacing="1"/>
    </w:pPr>
    <w:rPr>
      <w:rFonts w:ascii="Arial" w:eastAsia="Arial Unicode MS" w:hAnsi="Arial" w:cs="Arial"/>
      <w:color w:val="000000"/>
      <w:sz w:val="20"/>
      <w:szCs w:val="20"/>
    </w:rPr>
  </w:style>
  <w:style w:type="paragraph" w:customStyle="1" w:styleId="xl32">
    <w:name w:val="xl32"/>
    <w:basedOn w:val="Normal"/>
    <w:rsid w:val="00B52E24"/>
    <w:pPr>
      <w:spacing w:before="100" w:beforeAutospacing="1" w:after="100" w:afterAutospacing="1"/>
    </w:pPr>
    <w:rPr>
      <w:rFonts w:ascii="Arial" w:eastAsia="Arial Unicode MS" w:hAnsi="Arial" w:cs="Arial"/>
      <w:sz w:val="20"/>
      <w:szCs w:val="20"/>
    </w:rPr>
  </w:style>
  <w:style w:type="paragraph" w:customStyle="1" w:styleId="xl33">
    <w:name w:val="xl33"/>
    <w:basedOn w:val="Normal"/>
    <w:rsid w:val="00B52E24"/>
    <w:pPr>
      <w:spacing w:before="100" w:beforeAutospacing="1" w:after="100" w:afterAutospacing="1"/>
    </w:pPr>
    <w:rPr>
      <w:rFonts w:ascii="Arial" w:eastAsia="Arial Unicode MS" w:hAnsi="Arial" w:cs="Arial"/>
      <w:sz w:val="20"/>
      <w:szCs w:val="20"/>
    </w:rPr>
  </w:style>
  <w:style w:type="paragraph" w:styleId="DocumentMap">
    <w:name w:val="Document Map"/>
    <w:basedOn w:val="Normal"/>
    <w:semiHidden/>
    <w:rsid w:val="00F617DD"/>
    <w:pPr>
      <w:shd w:val="clear" w:color="auto" w:fill="000080"/>
    </w:pPr>
    <w:rPr>
      <w:rFonts w:ascii="Tahoma" w:hAnsi="Tahoma" w:cs="Tahoma"/>
      <w:sz w:val="20"/>
      <w:szCs w:val="20"/>
    </w:rPr>
  </w:style>
  <w:style w:type="paragraph" w:customStyle="1" w:styleId="Default">
    <w:name w:val="Default"/>
    <w:rsid w:val="00B57642"/>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B57642"/>
    <w:rPr>
      <w:rFonts w:cs="Times New Roman"/>
      <w:color w:val="auto"/>
    </w:rPr>
  </w:style>
  <w:style w:type="paragraph" w:customStyle="1" w:styleId="CM7">
    <w:name w:val="CM7"/>
    <w:basedOn w:val="Default"/>
    <w:next w:val="Default"/>
    <w:rsid w:val="00B57642"/>
    <w:pPr>
      <w:spacing w:after="210"/>
    </w:pPr>
    <w:rPr>
      <w:rFonts w:cs="Times New Roman"/>
      <w:color w:val="auto"/>
    </w:rPr>
  </w:style>
  <w:style w:type="paragraph" w:customStyle="1" w:styleId="CM2">
    <w:name w:val="CM2"/>
    <w:basedOn w:val="Default"/>
    <w:next w:val="Default"/>
    <w:rsid w:val="00B57642"/>
    <w:pPr>
      <w:spacing w:line="198" w:lineRule="atLeast"/>
    </w:pPr>
    <w:rPr>
      <w:rFonts w:cs="Times New Roman"/>
      <w:color w:val="auto"/>
    </w:rPr>
  </w:style>
  <w:style w:type="paragraph" w:customStyle="1" w:styleId="CM3">
    <w:name w:val="CM3"/>
    <w:basedOn w:val="Default"/>
    <w:next w:val="Default"/>
    <w:rsid w:val="00B57642"/>
    <w:pPr>
      <w:spacing w:line="198" w:lineRule="atLeast"/>
    </w:pPr>
    <w:rPr>
      <w:rFonts w:cs="Times New Roman"/>
      <w:color w:val="auto"/>
    </w:rPr>
  </w:style>
  <w:style w:type="character" w:styleId="CommentReference">
    <w:name w:val="annotation reference"/>
    <w:semiHidden/>
    <w:rsid w:val="00535F99"/>
    <w:rPr>
      <w:sz w:val="16"/>
      <w:szCs w:val="16"/>
    </w:rPr>
  </w:style>
  <w:style w:type="paragraph" w:styleId="CommentText">
    <w:name w:val="annotation text"/>
    <w:basedOn w:val="Normal"/>
    <w:semiHidden/>
    <w:rsid w:val="00535F99"/>
    <w:rPr>
      <w:sz w:val="20"/>
      <w:szCs w:val="20"/>
    </w:rPr>
  </w:style>
  <w:style w:type="paragraph" w:styleId="CommentSubject">
    <w:name w:val="annotation subject"/>
    <w:basedOn w:val="CommentText"/>
    <w:next w:val="CommentText"/>
    <w:semiHidden/>
    <w:rsid w:val="00535F99"/>
    <w:rPr>
      <w:b/>
      <w:bCs/>
    </w:rPr>
  </w:style>
  <w:style w:type="paragraph" w:styleId="ListParagraph">
    <w:name w:val="List Paragraph"/>
    <w:basedOn w:val="Normal"/>
    <w:uiPriority w:val="34"/>
    <w:qFormat/>
    <w:rsid w:val="007865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7B0"/>
    <w:rPr>
      <w:sz w:val="24"/>
      <w:szCs w:val="24"/>
    </w:rPr>
  </w:style>
  <w:style w:type="paragraph" w:styleId="Heading1">
    <w:name w:val="heading 1"/>
    <w:basedOn w:val="Normal"/>
    <w:next w:val="Normal"/>
    <w:qFormat/>
    <w:pPr>
      <w:keepNext/>
      <w:keepLines/>
      <w:tabs>
        <w:tab w:val="left" w:pos="-1440"/>
        <w:tab w:val="left" w:pos="-720"/>
      </w:tabs>
      <w:suppressAutoHyphens/>
      <w:spacing w:line="228" w:lineRule="auto"/>
      <w:jc w:val="center"/>
      <w:outlineLvl w:val="0"/>
    </w:pPr>
    <w:rPr>
      <w:b/>
      <w:bCs/>
      <w:sz w:val="22"/>
    </w:rPr>
  </w:style>
  <w:style w:type="paragraph" w:styleId="Heading2">
    <w:name w:val="heading 2"/>
    <w:basedOn w:val="Normal"/>
    <w:next w:val="Normal"/>
    <w:qFormat/>
    <w:pPr>
      <w:keepNext/>
      <w:jc w:val="right"/>
      <w:outlineLvl w:val="1"/>
    </w:pPr>
    <w:rPr>
      <w:b/>
      <w:sz w:val="20"/>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rsid w:val="00B52E24"/>
    <w:pPr>
      <w:spacing w:before="240" w:after="60"/>
      <w:outlineLvl w:val="5"/>
    </w:pPr>
    <w:rPr>
      <w:i/>
      <w:sz w:val="22"/>
      <w:szCs w:val="20"/>
    </w:rPr>
  </w:style>
  <w:style w:type="paragraph" w:styleId="Heading7">
    <w:name w:val="heading 7"/>
    <w:basedOn w:val="Normal"/>
    <w:next w:val="Normal"/>
    <w:qFormat/>
    <w:rsid w:val="00B52E24"/>
    <w:pPr>
      <w:spacing w:before="240" w:after="60"/>
      <w:outlineLvl w:val="6"/>
    </w:pPr>
    <w:rPr>
      <w:rFonts w:ascii="Arial" w:hAnsi="Arial"/>
      <w:sz w:val="20"/>
      <w:szCs w:val="20"/>
    </w:rPr>
  </w:style>
  <w:style w:type="paragraph" w:styleId="Heading8">
    <w:name w:val="heading 8"/>
    <w:basedOn w:val="Normal"/>
    <w:next w:val="Normal"/>
    <w:qFormat/>
    <w:rsid w:val="00B52E24"/>
    <w:pPr>
      <w:spacing w:before="240" w:after="60"/>
      <w:outlineLvl w:val="7"/>
    </w:pPr>
    <w:rPr>
      <w:rFonts w:ascii="Arial" w:hAnsi="Arial"/>
      <w:i/>
      <w:sz w:val="20"/>
      <w:szCs w:val="20"/>
    </w:rPr>
  </w:style>
  <w:style w:type="paragraph" w:styleId="Heading9">
    <w:name w:val="heading 9"/>
    <w:basedOn w:val="Normal"/>
    <w:next w:val="Normal"/>
    <w:qFormat/>
    <w:rsid w:val="00B52E24"/>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EndnoteText">
    <w:name w:val="endnote text"/>
    <w:basedOn w:val="Normal"/>
    <w:semiHidden/>
    <w:rPr>
      <w:rFonts w:ascii="TmsRmn 12pt" w:hAnsi="TmsRmn 12pt"/>
      <w:szCs w:val="20"/>
    </w:rPr>
  </w:style>
  <w:style w:type="paragraph" w:styleId="BodyText2">
    <w:name w:val="Body Text 2"/>
    <w:basedOn w:val="Normal"/>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rPr>
      <w:sz w:val="23"/>
      <w:szCs w:val="20"/>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msRmn 12pt" w:hAnsi="TmsRmn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TmsRmn 12pt" w:hAnsi="TmsRmn 12pt"/>
      <w:sz w:val="24"/>
    </w:rPr>
  </w:style>
  <w:style w:type="paragraph" w:customStyle="1" w:styleId="RightPar2">
    <w:name w:val="Right Par 2"/>
    <w:pPr>
      <w:tabs>
        <w:tab w:val="left" w:pos="-720"/>
        <w:tab w:val="left" w:pos="0"/>
        <w:tab w:val="left" w:pos="720"/>
        <w:tab w:val="decimal" w:pos="1440"/>
      </w:tabs>
      <w:suppressAutoHyphens/>
      <w:ind w:left="1440"/>
    </w:pPr>
    <w:rPr>
      <w:rFonts w:ascii="TmsRmn 12pt" w:hAnsi="TmsRmn 12pt"/>
      <w:sz w:val="24"/>
    </w:rPr>
  </w:style>
  <w:style w:type="character" w:customStyle="1" w:styleId="Document3">
    <w:name w:val="Document 3"/>
    <w:rPr>
      <w:rFonts w:ascii="TmsRmn 12pt" w:hAnsi="TmsRmn 12pt"/>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TmsRmn 12pt" w:hAnsi="TmsRmn 12pt"/>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TmsRmn 12pt" w:hAnsi="TmsRmn 12pt"/>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TmsRmn 12pt" w:hAnsi="TmsRmn 12pt"/>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TmsRmn 12pt" w:hAnsi="TmsRmn 12pt"/>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msRmn 12pt" w:hAnsi="TmsRmn 12pt"/>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msRmn 12pt" w:hAnsi="TmsRmn 12pt"/>
      <w:sz w:val="24"/>
    </w:rPr>
  </w:style>
  <w:style w:type="paragraph" w:customStyle="1" w:styleId="Document1">
    <w:name w:val="Document 1"/>
    <w:pPr>
      <w:keepNext/>
      <w:keepLines/>
      <w:tabs>
        <w:tab w:val="left" w:pos="-720"/>
      </w:tabs>
      <w:suppressAutoHyphens/>
    </w:pPr>
    <w:rPr>
      <w:rFonts w:ascii="TmsRmn 12pt" w:hAnsi="TmsRmn 12pt"/>
      <w:sz w:val="24"/>
    </w:rPr>
  </w:style>
  <w:style w:type="character" w:customStyle="1" w:styleId="DocInit">
    <w:name w:val="Doc Init"/>
    <w:basedOn w:val="DefaultParagraphFont"/>
  </w:style>
  <w:style w:type="character" w:customStyle="1" w:styleId="TechInit">
    <w:name w:val="Tech Init"/>
    <w:rPr>
      <w:rFonts w:ascii="TmsRmn 12pt" w:hAnsi="TmsRmn 12pt"/>
      <w:noProof w:val="0"/>
      <w:sz w:val="24"/>
      <w:lang w:val="en-US"/>
    </w:rPr>
  </w:style>
  <w:style w:type="paragraph" w:customStyle="1" w:styleId="Technical5">
    <w:name w:val="Technical 5"/>
    <w:pPr>
      <w:tabs>
        <w:tab w:val="left" w:pos="-720"/>
      </w:tabs>
      <w:suppressAutoHyphens/>
      <w:ind w:firstLine="720"/>
    </w:pPr>
    <w:rPr>
      <w:rFonts w:ascii="TmsRmn 12pt" w:hAnsi="TmsRmn 12pt"/>
      <w:b/>
      <w:sz w:val="24"/>
    </w:rPr>
  </w:style>
  <w:style w:type="paragraph" w:customStyle="1" w:styleId="Technical6">
    <w:name w:val="Technical 6"/>
    <w:pPr>
      <w:tabs>
        <w:tab w:val="left" w:pos="-720"/>
      </w:tabs>
      <w:suppressAutoHyphens/>
      <w:ind w:firstLine="720"/>
    </w:pPr>
    <w:rPr>
      <w:rFonts w:ascii="TmsRmn 12pt" w:hAnsi="TmsRmn 12pt"/>
      <w:b/>
      <w:sz w:val="24"/>
    </w:rPr>
  </w:style>
  <w:style w:type="character" w:customStyle="1" w:styleId="Technical2">
    <w:name w:val="Technical 2"/>
    <w:rPr>
      <w:rFonts w:ascii="TmsRmn 12pt" w:hAnsi="TmsRmn 12pt"/>
      <w:noProof w:val="0"/>
      <w:sz w:val="24"/>
      <w:lang w:val="en-US"/>
    </w:rPr>
  </w:style>
  <w:style w:type="character" w:customStyle="1" w:styleId="Technical3">
    <w:name w:val="Technical 3"/>
    <w:rPr>
      <w:rFonts w:ascii="TmsRmn 12pt" w:hAnsi="TmsRmn 12pt"/>
      <w:noProof w:val="0"/>
      <w:sz w:val="24"/>
      <w:lang w:val="en-US"/>
    </w:rPr>
  </w:style>
  <w:style w:type="paragraph" w:customStyle="1" w:styleId="Technical4">
    <w:name w:val="Technical 4"/>
    <w:pPr>
      <w:tabs>
        <w:tab w:val="left" w:pos="-720"/>
      </w:tabs>
      <w:suppressAutoHyphens/>
    </w:pPr>
    <w:rPr>
      <w:rFonts w:ascii="TmsRmn 12pt" w:hAnsi="TmsRmn 12pt"/>
      <w:b/>
      <w:sz w:val="24"/>
    </w:rPr>
  </w:style>
  <w:style w:type="character" w:customStyle="1" w:styleId="Technical1">
    <w:name w:val="Technical 1"/>
    <w:rPr>
      <w:rFonts w:ascii="TmsRmn 12pt" w:hAnsi="TmsRmn 12pt"/>
      <w:noProof w:val="0"/>
      <w:sz w:val="24"/>
      <w:lang w:val="en-US"/>
    </w:rPr>
  </w:style>
  <w:style w:type="paragraph" w:customStyle="1" w:styleId="Technical7">
    <w:name w:val="Technical 7"/>
    <w:pPr>
      <w:tabs>
        <w:tab w:val="left" w:pos="-720"/>
      </w:tabs>
      <w:suppressAutoHyphens/>
      <w:ind w:firstLine="720"/>
    </w:pPr>
    <w:rPr>
      <w:rFonts w:ascii="TmsRmn 12pt" w:hAnsi="TmsRmn 12pt"/>
      <w:b/>
      <w:sz w:val="24"/>
    </w:rPr>
  </w:style>
  <w:style w:type="paragraph" w:customStyle="1" w:styleId="Technical8">
    <w:name w:val="Technical 8"/>
    <w:pPr>
      <w:tabs>
        <w:tab w:val="left" w:pos="-720"/>
      </w:tabs>
      <w:suppressAutoHyphens/>
      <w:ind w:firstLine="720"/>
    </w:pPr>
    <w:rPr>
      <w:rFonts w:ascii="TmsRmn 12pt" w:hAnsi="TmsRmn 12pt"/>
      <w:b/>
      <w:sz w:val="24"/>
    </w:rPr>
  </w:style>
  <w:style w:type="character" w:customStyle="1" w:styleId="TEAM">
    <w:name w:val="TEAM"/>
    <w:rPr>
      <w:rFonts w:ascii="Times New Roman" w:hAnsi="Times New Roman"/>
      <w:b/>
      <w:noProof w:val="0"/>
      <w:sz w:val="27"/>
      <w:lang w:val="en-US"/>
    </w:rPr>
  </w:style>
  <w:style w:type="character" w:customStyle="1" w:styleId="Tab">
    <w:name w:val="Tab"/>
    <w:basedOn w:val="DefaultParagraphFont"/>
  </w:style>
  <w:style w:type="character" w:customStyle="1" w:styleId="Font2">
    <w:name w:val="Font2"/>
    <w:rPr>
      <w:rFonts w:ascii="Times New Roman" w:hAnsi="Times New Roman"/>
      <w:noProof w:val="0"/>
      <w:sz w:val="19"/>
      <w:lang w:val="en-US"/>
    </w:rPr>
  </w:style>
  <w:style w:type="character" w:customStyle="1" w:styleId="Font">
    <w:name w:val="Font"/>
    <w:rPr>
      <w:rFonts w:ascii="Times New Roman" w:hAnsi="Times New Roman"/>
      <w:noProof w:val="0"/>
      <w:sz w:val="23"/>
      <w:lang w:val="en-US"/>
    </w:rPr>
  </w:style>
  <w:style w:type="character" w:customStyle="1" w:styleId="BoldUnd">
    <w:name w:val="BoldUnd"/>
    <w:rPr>
      <w:sz w:val="24"/>
      <w:u w:val="single"/>
    </w:rPr>
  </w:style>
  <w:style w:type="character" w:customStyle="1" w:styleId="CenterBold">
    <w:name w:val="CenterBold"/>
    <w:rPr>
      <w:b/>
      <w:sz w:val="24"/>
    </w:rPr>
  </w:style>
  <w:style w:type="character" w:customStyle="1" w:styleId="CenterUnd">
    <w:name w:val="CenterUnd"/>
    <w:rPr>
      <w:sz w:val="24"/>
      <w:u w:val="single"/>
    </w:rPr>
  </w:style>
  <w:style w:type="character" w:customStyle="1" w:styleId="CtrBoldUnd">
    <w:name w:val="CtrBoldUnd"/>
    <w:rPr>
      <w:sz w:val="24"/>
      <w:u w:val="single"/>
    </w:rPr>
  </w:style>
  <w:style w:type="character" w:customStyle="1" w:styleId="Title1">
    <w:name w:val="Title1"/>
    <w:rPr>
      <w:rFonts w:ascii="Playbill" w:hAnsi="Playbill"/>
      <w:b/>
      <w:noProof w:val="0"/>
      <w:sz w:val="26"/>
      <w:lang w:val="en-US"/>
    </w:rPr>
  </w:style>
  <w:style w:type="character" w:customStyle="1" w:styleId="SUBHEAD">
    <w:name w:val="SUBHEAD"/>
    <w:rPr>
      <w:rFonts w:ascii="Footlight MT Light" w:hAnsi="Footlight MT Light"/>
      <w:b/>
      <w:noProof w:val="0"/>
      <w:sz w:val="24"/>
      <w:lang w:val="en-US"/>
    </w:rPr>
  </w:style>
  <w:style w:type="character" w:customStyle="1" w:styleId="EquationCaption">
    <w:name w:val="_Equation Caption"/>
  </w:style>
  <w:style w:type="paragraph" w:customStyle="1" w:styleId="GovLtr">
    <w:name w:val="GovLtr"/>
    <w:basedOn w:val="Normal"/>
    <w:pPr>
      <w:spacing w:after="240" w:line="240" w:lineRule="exact"/>
    </w:pPr>
    <w:rPr>
      <w:rFonts w:ascii="Garamond" w:hAnsi="Garamond"/>
      <w:sz w:val="22"/>
      <w:szCs w:val="20"/>
    </w:rPr>
  </w:style>
  <w:style w:type="paragraph" w:styleId="BodyText3">
    <w:name w:val="Body Text 3"/>
    <w:basedOn w:val="Normal"/>
    <w:pPr>
      <w:jc w:val="both"/>
    </w:pPr>
    <w:rPr>
      <w:sz w:val="23"/>
    </w:rPr>
  </w:style>
  <w:style w:type="character" w:styleId="Hyperlink">
    <w:name w:val="Hyperlink"/>
    <w:rsid w:val="004F1DBD"/>
    <w:rPr>
      <w:color w:val="0000FF"/>
      <w:u w:val="single"/>
    </w:rPr>
  </w:style>
  <w:style w:type="table" w:styleId="TableGrid">
    <w:name w:val="Table Grid"/>
    <w:basedOn w:val="TableNormal"/>
    <w:rsid w:val="00E2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F703F"/>
    <w:pPr>
      <w:spacing w:after="120"/>
      <w:ind w:left="360"/>
    </w:pPr>
  </w:style>
  <w:style w:type="paragraph" w:styleId="FootnoteText">
    <w:name w:val="footnote text"/>
    <w:basedOn w:val="Normal"/>
    <w:semiHidden/>
    <w:rsid w:val="00CF703F"/>
    <w:rPr>
      <w:szCs w:val="20"/>
    </w:rPr>
  </w:style>
  <w:style w:type="character" w:styleId="FootnoteReference">
    <w:name w:val="footnote reference"/>
    <w:semiHidden/>
    <w:rsid w:val="00744443"/>
    <w:rPr>
      <w:vertAlign w:val="superscript"/>
    </w:rPr>
  </w:style>
  <w:style w:type="paragraph" w:styleId="Header">
    <w:name w:val="header"/>
    <w:aliases w:val="Top"/>
    <w:basedOn w:val="Normal"/>
    <w:rsid w:val="00C415BC"/>
    <w:pPr>
      <w:tabs>
        <w:tab w:val="center" w:pos="4320"/>
        <w:tab w:val="right" w:pos="8640"/>
      </w:tabs>
    </w:pPr>
  </w:style>
  <w:style w:type="paragraph" w:styleId="Footer">
    <w:name w:val="footer"/>
    <w:basedOn w:val="Normal"/>
    <w:rsid w:val="00C415BC"/>
    <w:pPr>
      <w:tabs>
        <w:tab w:val="center" w:pos="4320"/>
        <w:tab w:val="right" w:pos="8640"/>
      </w:tabs>
    </w:pPr>
  </w:style>
  <w:style w:type="character" w:styleId="FollowedHyperlink">
    <w:name w:val="FollowedHyperlink"/>
    <w:rsid w:val="00591EB7"/>
    <w:rPr>
      <w:color w:val="800080"/>
      <w:u w:val="single"/>
    </w:rPr>
  </w:style>
  <w:style w:type="paragraph" w:customStyle="1" w:styleId="Triangle">
    <w:name w:val="_ Triangle"/>
    <w:basedOn w:val="Normal"/>
    <w:rsid w:val="0001406A"/>
    <w:pPr>
      <w:numPr>
        <w:numId w:val="5"/>
      </w:numPr>
      <w:spacing w:after="60"/>
    </w:pPr>
    <w:rPr>
      <w:szCs w:val="20"/>
    </w:rPr>
  </w:style>
  <w:style w:type="paragraph" w:styleId="ListBullet">
    <w:name w:val="List Bullet"/>
    <w:basedOn w:val="Normal"/>
    <w:autoRedefine/>
    <w:rsid w:val="0001406A"/>
    <w:pPr>
      <w:numPr>
        <w:numId w:val="4"/>
      </w:numPr>
    </w:pPr>
    <w:rPr>
      <w:szCs w:val="20"/>
    </w:rPr>
  </w:style>
  <w:style w:type="paragraph" w:styleId="ListBullet2">
    <w:name w:val="List Bullet 2"/>
    <w:basedOn w:val="Normal"/>
    <w:autoRedefine/>
    <w:rsid w:val="0001406A"/>
    <w:pPr>
      <w:numPr>
        <w:numId w:val="6"/>
      </w:numPr>
    </w:pPr>
    <w:rPr>
      <w:szCs w:val="20"/>
    </w:rPr>
  </w:style>
  <w:style w:type="paragraph" w:customStyle="1" w:styleId="HeaderBottom">
    <w:name w:val="Header Bottom"/>
    <w:basedOn w:val="Normal"/>
    <w:rsid w:val="00A82D85"/>
    <w:pPr>
      <w:pBdr>
        <w:bottom w:val="single" w:sz="4" w:space="3" w:color="auto"/>
      </w:pBdr>
      <w:tabs>
        <w:tab w:val="right" w:pos="9360"/>
      </w:tabs>
      <w:spacing w:before="60"/>
    </w:pPr>
    <w:rPr>
      <w:rFonts w:ascii="Arial" w:hAnsi="Arial"/>
      <w:b/>
      <w:sz w:val="22"/>
      <w:szCs w:val="20"/>
    </w:rPr>
  </w:style>
  <w:style w:type="character" w:styleId="PageNumber">
    <w:name w:val="page number"/>
    <w:basedOn w:val="DefaultParagraphFont"/>
    <w:rsid w:val="00A82D85"/>
  </w:style>
  <w:style w:type="paragraph" w:styleId="BodyTextIndent2">
    <w:name w:val="Body Text Indent 2"/>
    <w:basedOn w:val="Normal"/>
    <w:rsid w:val="00A82D85"/>
    <w:pPr>
      <w:widowControl w:val="0"/>
      <w:tabs>
        <w:tab w:val="left" w:pos="540"/>
      </w:tabs>
      <w:spacing w:after="61"/>
      <w:ind w:left="540" w:hanging="540"/>
    </w:pPr>
    <w:rPr>
      <w:snapToGrid w:val="0"/>
      <w:szCs w:val="20"/>
    </w:rPr>
  </w:style>
  <w:style w:type="paragraph" w:styleId="BodyTextIndent3">
    <w:name w:val="Body Text Indent 3"/>
    <w:basedOn w:val="Normal"/>
    <w:rsid w:val="00A82D85"/>
    <w:pPr>
      <w:widowControl w:val="0"/>
      <w:spacing w:after="61"/>
      <w:ind w:left="450"/>
    </w:pPr>
    <w:rPr>
      <w:snapToGrid w:val="0"/>
      <w:sz w:val="22"/>
      <w:szCs w:val="20"/>
    </w:rPr>
  </w:style>
  <w:style w:type="paragraph" w:styleId="BalloonText">
    <w:name w:val="Balloon Text"/>
    <w:basedOn w:val="Normal"/>
    <w:semiHidden/>
    <w:rsid w:val="00A364C9"/>
    <w:rPr>
      <w:rFonts w:ascii="Tahoma" w:hAnsi="Tahoma" w:cs="Tahoma"/>
      <w:sz w:val="16"/>
      <w:szCs w:val="16"/>
    </w:rPr>
  </w:style>
  <w:style w:type="paragraph" w:styleId="BlockText">
    <w:name w:val="Block Text"/>
    <w:basedOn w:val="Normal"/>
    <w:rsid w:val="00B52E24"/>
    <w:pPr>
      <w:keepNext/>
      <w:keepLines/>
      <w:tabs>
        <w:tab w:val="left" w:pos="-1440"/>
        <w:tab w:val="left" w:pos="-720"/>
        <w:tab w:val="left" w:pos="0"/>
      </w:tabs>
      <w:suppressAutoHyphens/>
      <w:spacing w:line="228" w:lineRule="auto"/>
      <w:ind w:left="720" w:right="-720" w:hanging="720"/>
      <w:jc w:val="both"/>
    </w:pPr>
    <w:rPr>
      <w:szCs w:val="20"/>
    </w:rPr>
  </w:style>
  <w:style w:type="paragraph" w:styleId="BodyTextFirstIndent">
    <w:name w:val="Body Text First Indent"/>
    <w:basedOn w:val="BodyText"/>
    <w:rsid w:val="00B52E24"/>
    <w:pPr>
      <w:spacing w:after="120"/>
      <w:ind w:firstLine="210"/>
    </w:pPr>
    <w:rPr>
      <w:rFonts w:ascii="TmsRmn 12pt" w:hAnsi="TmsRmn 12pt"/>
      <w:sz w:val="24"/>
      <w:szCs w:val="20"/>
    </w:rPr>
  </w:style>
  <w:style w:type="paragraph" w:styleId="BodyTextFirstIndent2">
    <w:name w:val="Body Text First Indent 2"/>
    <w:basedOn w:val="BodyTextIndent"/>
    <w:rsid w:val="00B52E24"/>
    <w:pPr>
      <w:ind w:firstLine="210"/>
    </w:pPr>
    <w:rPr>
      <w:rFonts w:ascii="TmsRmn 12pt" w:hAnsi="TmsRmn 12pt"/>
      <w:szCs w:val="20"/>
    </w:rPr>
  </w:style>
  <w:style w:type="paragraph" w:styleId="Closing">
    <w:name w:val="Closing"/>
    <w:basedOn w:val="Normal"/>
    <w:rsid w:val="00B52E24"/>
    <w:pPr>
      <w:ind w:left="4320"/>
    </w:pPr>
    <w:rPr>
      <w:szCs w:val="20"/>
    </w:rPr>
  </w:style>
  <w:style w:type="paragraph" w:styleId="Date">
    <w:name w:val="Date"/>
    <w:basedOn w:val="Normal"/>
    <w:next w:val="Normal"/>
    <w:rsid w:val="00B52E24"/>
    <w:rPr>
      <w:szCs w:val="20"/>
    </w:rPr>
  </w:style>
  <w:style w:type="paragraph" w:styleId="EnvelopeAddress">
    <w:name w:val="envelope address"/>
    <w:basedOn w:val="Normal"/>
    <w:rsid w:val="00B52E24"/>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52E24"/>
    <w:rPr>
      <w:rFonts w:ascii="Arial" w:hAnsi="Arial"/>
      <w:sz w:val="20"/>
      <w:szCs w:val="20"/>
    </w:rPr>
  </w:style>
  <w:style w:type="paragraph" w:styleId="List">
    <w:name w:val="List"/>
    <w:basedOn w:val="Normal"/>
    <w:rsid w:val="00B52E24"/>
    <w:pPr>
      <w:ind w:left="360" w:hanging="360"/>
    </w:pPr>
    <w:rPr>
      <w:szCs w:val="20"/>
    </w:rPr>
  </w:style>
  <w:style w:type="paragraph" w:styleId="List2">
    <w:name w:val="List 2"/>
    <w:basedOn w:val="Normal"/>
    <w:rsid w:val="00B52E24"/>
    <w:pPr>
      <w:ind w:left="720" w:hanging="360"/>
    </w:pPr>
    <w:rPr>
      <w:szCs w:val="20"/>
    </w:rPr>
  </w:style>
  <w:style w:type="paragraph" w:styleId="List3">
    <w:name w:val="List 3"/>
    <w:basedOn w:val="Normal"/>
    <w:rsid w:val="00B52E24"/>
    <w:pPr>
      <w:ind w:left="1080" w:hanging="360"/>
    </w:pPr>
    <w:rPr>
      <w:szCs w:val="20"/>
    </w:rPr>
  </w:style>
  <w:style w:type="paragraph" w:styleId="List4">
    <w:name w:val="List 4"/>
    <w:basedOn w:val="Normal"/>
    <w:rsid w:val="00B52E24"/>
    <w:pPr>
      <w:ind w:left="1440" w:hanging="360"/>
    </w:pPr>
    <w:rPr>
      <w:szCs w:val="20"/>
    </w:rPr>
  </w:style>
  <w:style w:type="paragraph" w:styleId="List5">
    <w:name w:val="List 5"/>
    <w:basedOn w:val="Normal"/>
    <w:rsid w:val="00B52E24"/>
    <w:pPr>
      <w:ind w:left="1800" w:hanging="360"/>
    </w:pPr>
    <w:rPr>
      <w:szCs w:val="20"/>
    </w:rPr>
  </w:style>
  <w:style w:type="paragraph" w:styleId="ListBullet3">
    <w:name w:val="List Bullet 3"/>
    <w:basedOn w:val="Normal"/>
    <w:autoRedefine/>
    <w:rsid w:val="00B52E24"/>
    <w:pPr>
      <w:numPr>
        <w:numId w:val="19"/>
      </w:numPr>
    </w:pPr>
    <w:rPr>
      <w:szCs w:val="20"/>
    </w:rPr>
  </w:style>
  <w:style w:type="paragraph" w:styleId="ListBullet4">
    <w:name w:val="List Bullet 4"/>
    <w:basedOn w:val="Normal"/>
    <w:autoRedefine/>
    <w:rsid w:val="00B52E24"/>
    <w:pPr>
      <w:numPr>
        <w:numId w:val="20"/>
      </w:numPr>
    </w:pPr>
    <w:rPr>
      <w:szCs w:val="20"/>
    </w:rPr>
  </w:style>
  <w:style w:type="paragraph" w:styleId="ListBullet5">
    <w:name w:val="List Bullet 5"/>
    <w:basedOn w:val="Normal"/>
    <w:autoRedefine/>
    <w:rsid w:val="00B52E24"/>
    <w:pPr>
      <w:numPr>
        <w:numId w:val="21"/>
      </w:numPr>
    </w:pPr>
    <w:rPr>
      <w:szCs w:val="20"/>
    </w:rPr>
  </w:style>
  <w:style w:type="paragraph" w:styleId="ListContinue">
    <w:name w:val="List Continue"/>
    <w:basedOn w:val="Normal"/>
    <w:rsid w:val="00B52E24"/>
    <w:pPr>
      <w:spacing w:after="120"/>
      <w:ind w:left="360"/>
    </w:pPr>
    <w:rPr>
      <w:szCs w:val="20"/>
    </w:rPr>
  </w:style>
  <w:style w:type="paragraph" w:styleId="ListContinue2">
    <w:name w:val="List Continue 2"/>
    <w:basedOn w:val="Normal"/>
    <w:rsid w:val="00B52E24"/>
    <w:pPr>
      <w:spacing w:after="120"/>
      <w:ind w:left="720"/>
    </w:pPr>
    <w:rPr>
      <w:szCs w:val="20"/>
    </w:rPr>
  </w:style>
  <w:style w:type="paragraph" w:styleId="ListContinue3">
    <w:name w:val="List Continue 3"/>
    <w:basedOn w:val="Normal"/>
    <w:rsid w:val="00B52E24"/>
    <w:pPr>
      <w:spacing w:after="120"/>
      <w:ind w:left="1080"/>
    </w:pPr>
    <w:rPr>
      <w:szCs w:val="20"/>
    </w:rPr>
  </w:style>
  <w:style w:type="paragraph" w:styleId="ListContinue4">
    <w:name w:val="List Continue 4"/>
    <w:basedOn w:val="Normal"/>
    <w:rsid w:val="00B52E24"/>
    <w:pPr>
      <w:spacing w:after="120"/>
      <w:ind w:left="1440"/>
    </w:pPr>
    <w:rPr>
      <w:szCs w:val="20"/>
    </w:rPr>
  </w:style>
  <w:style w:type="paragraph" w:styleId="ListContinue5">
    <w:name w:val="List Continue 5"/>
    <w:basedOn w:val="Normal"/>
    <w:rsid w:val="00B52E24"/>
    <w:pPr>
      <w:spacing w:after="120"/>
      <w:ind w:left="1800"/>
    </w:pPr>
    <w:rPr>
      <w:szCs w:val="20"/>
    </w:rPr>
  </w:style>
  <w:style w:type="paragraph" w:styleId="ListNumber">
    <w:name w:val="List Number"/>
    <w:basedOn w:val="Normal"/>
    <w:rsid w:val="00B52E24"/>
    <w:pPr>
      <w:numPr>
        <w:numId w:val="22"/>
      </w:numPr>
    </w:pPr>
    <w:rPr>
      <w:szCs w:val="20"/>
    </w:rPr>
  </w:style>
  <w:style w:type="paragraph" w:styleId="ListNumber2">
    <w:name w:val="List Number 2"/>
    <w:basedOn w:val="Normal"/>
    <w:rsid w:val="00B52E24"/>
    <w:pPr>
      <w:numPr>
        <w:numId w:val="23"/>
      </w:numPr>
    </w:pPr>
    <w:rPr>
      <w:szCs w:val="20"/>
    </w:rPr>
  </w:style>
  <w:style w:type="paragraph" w:styleId="ListNumber3">
    <w:name w:val="List Number 3"/>
    <w:basedOn w:val="Normal"/>
    <w:rsid w:val="00B52E24"/>
    <w:pPr>
      <w:numPr>
        <w:numId w:val="24"/>
      </w:numPr>
    </w:pPr>
    <w:rPr>
      <w:szCs w:val="20"/>
    </w:rPr>
  </w:style>
  <w:style w:type="paragraph" w:styleId="ListNumber4">
    <w:name w:val="List Number 4"/>
    <w:basedOn w:val="Normal"/>
    <w:rsid w:val="00B52E24"/>
    <w:pPr>
      <w:numPr>
        <w:numId w:val="25"/>
      </w:numPr>
    </w:pPr>
    <w:rPr>
      <w:szCs w:val="20"/>
    </w:rPr>
  </w:style>
  <w:style w:type="paragraph" w:styleId="ListNumber5">
    <w:name w:val="List Number 5"/>
    <w:basedOn w:val="Normal"/>
    <w:rsid w:val="00B52E24"/>
    <w:pPr>
      <w:numPr>
        <w:numId w:val="26"/>
      </w:numPr>
    </w:pPr>
    <w:rPr>
      <w:szCs w:val="20"/>
    </w:rPr>
  </w:style>
  <w:style w:type="paragraph" w:styleId="MessageHeader">
    <w:name w:val="Message Header"/>
    <w:basedOn w:val="Normal"/>
    <w:rsid w:val="00B52E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paragraph" w:styleId="NormalIndent">
    <w:name w:val="Normal Indent"/>
    <w:basedOn w:val="Normal"/>
    <w:rsid w:val="00B52E24"/>
    <w:pPr>
      <w:ind w:left="720"/>
    </w:pPr>
    <w:rPr>
      <w:szCs w:val="20"/>
    </w:rPr>
  </w:style>
  <w:style w:type="paragraph" w:styleId="NoteHeading">
    <w:name w:val="Note Heading"/>
    <w:basedOn w:val="Normal"/>
    <w:next w:val="Normal"/>
    <w:rsid w:val="00B52E24"/>
    <w:rPr>
      <w:szCs w:val="20"/>
    </w:rPr>
  </w:style>
  <w:style w:type="paragraph" w:styleId="PlainText">
    <w:name w:val="Plain Text"/>
    <w:basedOn w:val="Normal"/>
    <w:rsid w:val="00B52E24"/>
    <w:rPr>
      <w:rFonts w:ascii="Courier New" w:hAnsi="Courier New"/>
      <w:sz w:val="20"/>
      <w:szCs w:val="20"/>
    </w:rPr>
  </w:style>
  <w:style w:type="paragraph" w:styleId="Salutation">
    <w:name w:val="Salutation"/>
    <w:basedOn w:val="Normal"/>
    <w:next w:val="Normal"/>
    <w:rsid w:val="00B52E24"/>
    <w:rPr>
      <w:szCs w:val="20"/>
    </w:rPr>
  </w:style>
  <w:style w:type="paragraph" w:styleId="Signature">
    <w:name w:val="Signature"/>
    <w:basedOn w:val="Normal"/>
    <w:rsid w:val="00B52E24"/>
    <w:pPr>
      <w:ind w:left="4320"/>
    </w:pPr>
    <w:rPr>
      <w:szCs w:val="20"/>
    </w:rPr>
  </w:style>
  <w:style w:type="paragraph" w:styleId="Subtitle">
    <w:name w:val="Subtitle"/>
    <w:basedOn w:val="Normal"/>
    <w:qFormat/>
    <w:rsid w:val="00B52E24"/>
    <w:pPr>
      <w:spacing w:after="60"/>
      <w:jc w:val="center"/>
      <w:outlineLvl w:val="1"/>
    </w:pPr>
    <w:rPr>
      <w:rFonts w:ascii="Arial" w:hAnsi="Arial"/>
      <w:szCs w:val="20"/>
    </w:rPr>
  </w:style>
  <w:style w:type="paragraph" w:styleId="Title">
    <w:name w:val="Title"/>
    <w:basedOn w:val="Normal"/>
    <w:qFormat/>
    <w:rsid w:val="00B52E24"/>
    <w:pPr>
      <w:spacing w:before="240" w:after="60"/>
      <w:jc w:val="center"/>
      <w:outlineLvl w:val="0"/>
    </w:pPr>
    <w:rPr>
      <w:rFonts w:ascii="Arial" w:hAnsi="Arial"/>
      <w:b/>
      <w:kern w:val="28"/>
      <w:sz w:val="32"/>
      <w:szCs w:val="20"/>
    </w:rPr>
  </w:style>
  <w:style w:type="paragraph" w:customStyle="1" w:styleId="xl24">
    <w:name w:val="xl24"/>
    <w:basedOn w:val="Normal"/>
    <w:rsid w:val="00B52E24"/>
    <w:pPr>
      <w:spacing w:before="100" w:beforeAutospacing="1" w:after="100" w:afterAutospacing="1"/>
    </w:pPr>
    <w:rPr>
      <w:rFonts w:ascii="Arial" w:eastAsia="Arial Unicode MS" w:hAnsi="Arial" w:cs="Arial"/>
      <w:b/>
      <w:bCs/>
      <w:color w:val="000000"/>
      <w:sz w:val="20"/>
      <w:szCs w:val="20"/>
    </w:rPr>
  </w:style>
  <w:style w:type="paragraph" w:customStyle="1" w:styleId="xl25">
    <w:name w:val="xl25"/>
    <w:basedOn w:val="Normal"/>
    <w:rsid w:val="00B52E24"/>
    <w:pPr>
      <w:spacing w:before="100" w:beforeAutospacing="1" w:after="100" w:afterAutospacing="1"/>
    </w:pPr>
    <w:rPr>
      <w:rFonts w:ascii="Arial" w:eastAsia="Arial Unicode MS" w:hAnsi="Arial" w:cs="Arial"/>
      <w:sz w:val="20"/>
      <w:szCs w:val="20"/>
    </w:rPr>
  </w:style>
  <w:style w:type="paragraph" w:customStyle="1" w:styleId="xl26">
    <w:name w:val="xl26"/>
    <w:basedOn w:val="Normal"/>
    <w:rsid w:val="00B52E24"/>
    <w:pPr>
      <w:spacing w:before="100" w:beforeAutospacing="1" w:after="100" w:afterAutospacing="1"/>
      <w:jc w:val="center"/>
    </w:pPr>
    <w:rPr>
      <w:rFonts w:ascii="Arial" w:eastAsia="Arial Unicode MS" w:hAnsi="Arial" w:cs="Arial"/>
      <w:color w:val="000000"/>
      <w:sz w:val="20"/>
      <w:szCs w:val="20"/>
    </w:rPr>
  </w:style>
  <w:style w:type="paragraph" w:customStyle="1" w:styleId="xl27">
    <w:name w:val="xl27"/>
    <w:basedOn w:val="Normal"/>
    <w:rsid w:val="00B52E24"/>
    <w:pPr>
      <w:spacing w:before="100" w:beforeAutospacing="1" w:after="100" w:afterAutospacing="1"/>
      <w:jc w:val="center"/>
    </w:pPr>
    <w:rPr>
      <w:rFonts w:ascii="Arial" w:eastAsia="Arial Unicode MS" w:hAnsi="Arial" w:cs="Arial"/>
      <w:b/>
      <w:bCs/>
      <w:color w:val="000000"/>
      <w:sz w:val="20"/>
      <w:szCs w:val="20"/>
    </w:rPr>
  </w:style>
  <w:style w:type="paragraph" w:customStyle="1" w:styleId="xl28">
    <w:name w:val="xl28"/>
    <w:basedOn w:val="Normal"/>
    <w:rsid w:val="00B52E2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29">
    <w:name w:val="xl29"/>
    <w:basedOn w:val="Normal"/>
    <w:rsid w:val="00B52E24"/>
    <w:pPr>
      <w:pBdr>
        <w:top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30">
    <w:name w:val="xl30"/>
    <w:basedOn w:val="Normal"/>
    <w:rsid w:val="00B52E2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31">
    <w:name w:val="xl31"/>
    <w:basedOn w:val="Normal"/>
    <w:rsid w:val="00B52E24"/>
    <w:pPr>
      <w:pBdr>
        <w:top w:val="single" w:sz="4" w:space="0" w:color="auto"/>
      </w:pBdr>
      <w:spacing w:before="100" w:beforeAutospacing="1" w:after="100" w:afterAutospacing="1"/>
    </w:pPr>
    <w:rPr>
      <w:rFonts w:ascii="Arial" w:eastAsia="Arial Unicode MS" w:hAnsi="Arial" w:cs="Arial"/>
      <w:color w:val="000000"/>
      <w:sz w:val="20"/>
      <w:szCs w:val="20"/>
    </w:rPr>
  </w:style>
  <w:style w:type="paragraph" w:customStyle="1" w:styleId="xl32">
    <w:name w:val="xl32"/>
    <w:basedOn w:val="Normal"/>
    <w:rsid w:val="00B52E24"/>
    <w:pPr>
      <w:spacing w:before="100" w:beforeAutospacing="1" w:after="100" w:afterAutospacing="1"/>
    </w:pPr>
    <w:rPr>
      <w:rFonts w:ascii="Arial" w:eastAsia="Arial Unicode MS" w:hAnsi="Arial" w:cs="Arial"/>
      <w:sz w:val="20"/>
      <w:szCs w:val="20"/>
    </w:rPr>
  </w:style>
  <w:style w:type="paragraph" w:customStyle="1" w:styleId="xl33">
    <w:name w:val="xl33"/>
    <w:basedOn w:val="Normal"/>
    <w:rsid w:val="00B52E24"/>
    <w:pPr>
      <w:spacing w:before="100" w:beforeAutospacing="1" w:after="100" w:afterAutospacing="1"/>
    </w:pPr>
    <w:rPr>
      <w:rFonts w:ascii="Arial" w:eastAsia="Arial Unicode MS" w:hAnsi="Arial" w:cs="Arial"/>
      <w:sz w:val="20"/>
      <w:szCs w:val="20"/>
    </w:rPr>
  </w:style>
  <w:style w:type="paragraph" w:styleId="DocumentMap">
    <w:name w:val="Document Map"/>
    <w:basedOn w:val="Normal"/>
    <w:semiHidden/>
    <w:rsid w:val="00F617DD"/>
    <w:pPr>
      <w:shd w:val="clear" w:color="auto" w:fill="000080"/>
    </w:pPr>
    <w:rPr>
      <w:rFonts w:ascii="Tahoma" w:hAnsi="Tahoma" w:cs="Tahoma"/>
      <w:sz w:val="20"/>
      <w:szCs w:val="20"/>
    </w:rPr>
  </w:style>
  <w:style w:type="paragraph" w:customStyle="1" w:styleId="Default">
    <w:name w:val="Default"/>
    <w:rsid w:val="00B57642"/>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B57642"/>
    <w:rPr>
      <w:rFonts w:cs="Times New Roman"/>
      <w:color w:val="auto"/>
    </w:rPr>
  </w:style>
  <w:style w:type="paragraph" w:customStyle="1" w:styleId="CM7">
    <w:name w:val="CM7"/>
    <w:basedOn w:val="Default"/>
    <w:next w:val="Default"/>
    <w:rsid w:val="00B57642"/>
    <w:pPr>
      <w:spacing w:after="210"/>
    </w:pPr>
    <w:rPr>
      <w:rFonts w:cs="Times New Roman"/>
      <w:color w:val="auto"/>
    </w:rPr>
  </w:style>
  <w:style w:type="paragraph" w:customStyle="1" w:styleId="CM2">
    <w:name w:val="CM2"/>
    <w:basedOn w:val="Default"/>
    <w:next w:val="Default"/>
    <w:rsid w:val="00B57642"/>
    <w:pPr>
      <w:spacing w:line="198" w:lineRule="atLeast"/>
    </w:pPr>
    <w:rPr>
      <w:rFonts w:cs="Times New Roman"/>
      <w:color w:val="auto"/>
    </w:rPr>
  </w:style>
  <w:style w:type="paragraph" w:customStyle="1" w:styleId="CM3">
    <w:name w:val="CM3"/>
    <w:basedOn w:val="Default"/>
    <w:next w:val="Default"/>
    <w:rsid w:val="00B57642"/>
    <w:pPr>
      <w:spacing w:line="198" w:lineRule="atLeast"/>
    </w:pPr>
    <w:rPr>
      <w:rFonts w:cs="Times New Roman"/>
      <w:color w:val="auto"/>
    </w:rPr>
  </w:style>
  <w:style w:type="character" w:styleId="CommentReference">
    <w:name w:val="annotation reference"/>
    <w:semiHidden/>
    <w:rsid w:val="00535F99"/>
    <w:rPr>
      <w:sz w:val="16"/>
      <w:szCs w:val="16"/>
    </w:rPr>
  </w:style>
  <w:style w:type="paragraph" w:styleId="CommentText">
    <w:name w:val="annotation text"/>
    <w:basedOn w:val="Normal"/>
    <w:semiHidden/>
    <w:rsid w:val="00535F99"/>
    <w:rPr>
      <w:sz w:val="20"/>
      <w:szCs w:val="20"/>
    </w:rPr>
  </w:style>
  <w:style w:type="paragraph" w:styleId="CommentSubject">
    <w:name w:val="annotation subject"/>
    <w:basedOn w:val="CommentText"/>
    <w:next w:val="CommentText"/>
    <w:semiHidden/>
    <w:rsid w:val="00535F99"/>
    <w:rPr>
      <w:b/>
      <w:bCs/>
    </w:rPr>
  </w:style>
  <w:style w:type="paragraph" w:styleId="ListParagraph">
    <w:name w:val="List Paragraph"/>
    <w:basedOn w:val="Normal"/>
    <w:uiPriority w:val="34"/>
    <w:qFormat/>
    <w:rsid w:val="007865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3133">
      <w:bodyDiv w:val="1"/>
      <w:marLeft w:val="0"/>
      <w:marRight w:val="0"/>
      <w:marTop w:val="0"/>
      <w:marBottom w:val="0"/>
      <w:divBdr>
        <w:top w:val="none" w:sz="0" w:space="0" w:color="auto"/>
        <w:left w:val="none" w:sz="0" w:space="0" w:color="auto"/>
        <w:bottom w:val="none" w:sz="0" w:space="0" w:color="auto"/>
        <w:right w:val="none" w:sz="0" w:space="0" w:color="auto"/>
      </w:divBdr>
    </w:div>
    <w:div w:id="912157872">
      <w:bodyDiv w:val="1"/>
      <w:marLeft w:val="0"/>
      <w:marRight w:val="0"/>
      <w:marTop w:val="0"/>
      <w:marBottom w:val="0"/>
      <w:divBdr>
        <w:top w:val="none" w:sz="0" w:space="0" w:color="auto"/>
        <w:left w:val="none" w:sz="0" w:space="0" w:color="auto"/>
        <w:bottom w:val="none" w:sz="0" w:space="0" w:color="auto"/>
        <w:right w:val="none" w:sz="0" w:space="0" w:color="auto"/>
      </w:divBdr>
    </w:div>
    <w:div w:id="1023476592">
      <w:bodyDiv w:val="1"/>
      <w:marLeft w:val="0"/>
      <w:marRight w:val="0"/>
      <w:marTop w:val="0"/>
      <w:marBottom w:val="0"/>
      <w:divBdr>
        <w:top w:val="none" w:sz="0" w:space="0" w:color="auto"/>
        <w:left w:val="none" w:sz="0" w:space="0" w:color="auto"/>
        <w:bottom w:val="none" w:sz="0" w:space="0" w:color="auto"/>
        <w:right w:val="none" w:sz="0" w:space="0" w:color="auto"/>
      </w:divBdr>
    </w:div>
    <w:div w:id="1052463079">
      <w:bodyDiv w:val="1"/>
      <w:marLeft w:val="0"/>
      <w:marRight w:val="0"/>
      <w:marTop w:val="0"/>
      <w:marBottom w:val="0"/>
      <w:divBdr>
        <w:top w:val="none" w:sz="0" w:space="0" w:color="auto"/>
        <w:left w:val="none" w:sz="0" w:space="0" w:color="auto"/>
        <w:bottom w:val="none" w:sz="0" w:space="0" w:color="auto"/>
        <w:right w:val="none" w:sz="0" w:space="0" w:color="auto"/>
      </w:divBdr>
    </w:div>
    <w:div w:id="1335644701">
      <w:bodyDiv w:val="1"/>
      <w:marLeft w:val="0"/>
      <w:marRight w:val="0"/>
      <w:marTop w:val="0"/>
      <w:marBottom w:val="0"/>
      <w:divBdr>
        <w:top w:val="none" w:sz="0" w:space="0" w:color="auto"/>
        <w:left w:val="none" w:sz="0" w:space="0" w:color="auto"/>
        <w:bottom w:val="none" w:sz="0" w:space="0" w:color="auto"/>
        <w:right w:val="none" w:sz="0" w:space="0" w:color="auto"/>
      </w:divBdr>
    </w:div>
    <w:div w:id="1513451196">
      <w:bodyDiv w:val="1"/>
      <w:marLeft w:val="0"/>
      <w:marRight w:val="0"/>
      <w:marTop w:val="0"/>
      <w:marBottom w:val="0"/>
      <w:divBdr>
        <w:top w:val="none" w:sz="0" w:space="0" w:color="auto"/>
        <w:left w:val="none" w:sz="0" w:space="0" w:color="auto"/>
        <w:bottom w:val="none" w:sz="0" w:space="0" w:color="auto"/>
        <w:right w:val="none" w:sz="0" w:space="0" w:color="auto"/>
      </w:divBdr>
    </w:div>
    <w:div w:id="19423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2EFCF-F2D1-4BBD-9769-E411AF42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3231</Words>
  <Characters>18209</Characters>
  <Application>Microsoft Office Word</Application>
  <DocSecurity>0</DocSecurity>
  <Lines>551</Lines>
  <Paragraphs>285</Paragraphs>
  <ScaleCrop>false</ScaleCrop>
  <HeadingPairs>
    <vt:vector size="2" baseType="variant">
      <vt:variant>
        <vt:lpstr>Title</vt:lpstr>
      </vt:variant>
      <vt:variant>
        <vt:i4>1</vt:i4>
      </vt:variant>
    </vt:vector>
  </HeadingPairs>
  <TitlesOfParts>
    <vt:vector size="1" baseType="lpstr">
      <vt:lpstr/>
    </vt:vector>
  </TitlesOfParts>
  <Company>VHFA</Company>
  <LinksUpToDate>false</LinksUpToDate>
  <CharactersWithSpaces>21155</CharactersWithSpaces>
  <SharedDoc>false</SharedDoc>
  <HLinks>
    <vt:vector size="54" baseType="variant">
      <vt:variant>
        <vt:i4>917528</vt:i4>
      </vt:variant>
      <vt:variant>
        <vt:i4>951</vt:i4>
      </vt:variant>
      <vt:variant>
        <vt:i4>0</vt:i4>
      </vt:variant>
      <vt:variant>
        <vt:i4>5</vt:i4>
      </vt:variant>
      <vt:variant>
        <vt:lpwstr>http://www.vhcb.org/pdfs/homehandbook/2c.pdf</vt:lpwstr>
      </vt:variant>
      <vt:variant>
        <vt:lpwstr/>
      </vt:variant>
      <vt:variant>
        <vt:i4>8126505</vt:i4>
      </vt:variant>
      <vt:variant>
        <vt:i4>767</vt:i4>
      </vt:variant>
      <vt:variant>
        <vt:i4>0</vt:i4>
      </vt:variant>
      <vt:variant>
        <vt:i4>5</vt:i4>
      </vt:variant>
      <vt:variant>
        <vt:lpwstr>http://accd.vermont.gov/strong_communities/housing/planning/needs_assessment</vt:lpwstr>
      </vt:variant>
      <vt:variant>
        <vt:lpwstr/>
      </vt:variant>
      <vt:variant>
        <vt:i4>2752627</vt:i4>
      </vt:variant>
      <vt:variant>
        <vt:i4>764</vt:i4>
      </vt:variant>
      <vt:variant>
        <vt:i4>0</vt:i4>
      </vt:variant>
      <vt:variant>
        <vt:i4>5</vt:i4>
      </vt:variant>
      <vt:variant>
        <vt:lpwstr>http://www.vhfa.org/documents/developers/market_study_standards.pdf</vt:lpwstr>
      </vt:variant>
      <vt:variant>
        <vt:lpwstr/>
      </vt:variant>
      <vt:variant>
        <vt:i4>7077982</vt:i4>
      </vt:variant>
      <vt:variant>
        <vt:i4>761</vt:i4>
      </vt:variant>
      <vt:variant>
        <vt:i4>0</vt:i4>
      </vt:variant>
      <vt:variant>
        <vt:i4>5</vt:i4>
      </vt:variant>
      <vt:variant>
        <vt:lpwstr>http://www.nrb.state.vt.us/lup/commission_members.htm</vt:lpwstr>
      </vt:variant>
      <vt:variant>
        <vt:lpwstr/>
      </vt:variant>
      <vt:variant>
        <vt:i4>1048627</vt:i4>
      </vt:variant>
      <vt:variant>
        <vt:i4>758</vt:i4>
      </vt:variant>
      <vt:variant>
        <vt:i4>0</vt:i4>
      </vt:variant>
      <vt:variant>
        <vt:i4>5</vt:i4>
      </vt:variant>
      <vt:variant>
        <vt:lpwstr>http://www.anr.state.vt.us/dec/permit_hb/prs699gen.pdf</vt:lpwstr>
      </vt:variant>
      <vt:variant>
        <vt:lpwstr/>
      </vt:variant>
      <vt:variant>
        <vt:i4>589881</vt:i4>
      </vt:variant>
      <vt:variant>
        <vt:i4>755</vt:i4>
      </vt:variant>
      <vt:variant>
        <vt:i4>0</vt:i4>
      </vt:variant>
      <vt:variant>
        <vt:i4>5</vt:i4>
      </vt:variant>
      <vt:variant>
        <vt:lpwstr>mailto:Kate.Fournier@state.vt.us</vt:lpwstr>
      </vt:variant>
      <vt:variant>
        <vt:lpwstr/>
      </vt:variant>
      <vt:variant>
        <vt:i4>7274540</vt:i4>
      </vt:variant>
      <vt:variant>
        <vt:i4>752</vt:i4>
      </vt:variant>
      <vt:variant>
        <vt:i4>0</vt:i4>
      </vt:variant>
      <vt:variant>
        <vt:i4>5</vt:i4>
      </vt:variant>
      <vt:variant>
        <vt:lpwstr>http://portal.hud.gov/hudportal/documents/huddoc?id=comp8-stepsprocess.pdf</vt:lpwstr>
      </vt:variant>
      <vt:variant>
        <vt:lpwstr/>
      </vt:variant>
      <vt:variant>
        <vt:i4>4390927</vt:i4>
      </vt:variant>
      <vt:variant>
        <vt:i4>259</vt:i4>
      </vt:variant>
      <vt:variant>
        <vt:i4>0</vt:i4>
      </vt:variant>
      <vt:variant>
        <vt:i4>5</vt:i4>
      </vt:variant>
      <vt:variant>
        <vt:lpwstr>http://accd.vermont.gov/strong_communities/housing/planning/consolidated_plan</vt:lpwstr>
      </vt:variant>
      <vt:variant>
        <vt:lpwstr/>
      </vt:variant>
      <vt:variant>
        <vt:i4>589914</vt:i4>
      </vt:variant>
      <vt:variant>
        <vt:i4>250</vt:i4>
      </vt:variant>
      <vt:variant>
        <vt:i4>0</vt:i4>
      </vt:variant>
      <vt:variant>
        <vt:i4>5</vt:i4>
      </vt:variant>
      <vt:variant>
        <vt:lpwstr>http://www.vhfa.org/developers/lihtc/overview.php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joee</dc:creator>
  <cp:lastModifiedBy>robinh</cp:lastModifiedBy>
  <cp:revision>2</cp:revision>
  <cp:lastPrinted>2014-11-07T14:48:00Z</cp:lastPrinted>
  <dcterms:created xsi:type="dcterms:W3CDTF">2015-01-22T16:25:00Z</dcterms:created>
  <dcterms:modified xsi:type="dcterms:W3CDTF">2015-01-22T16:25:00Z</dcterms:modified>
</cp:coreProperties>
</file>